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B64E9" w14:textId="44E74E63" w:rsidR="00572B75" w:rsidRDefault="00FF34E9" w:rsidP="00F47280">
      <w:pPr>
        <w:spacing w:line="200" w:lineRule="exact"/>
        <w:rPr>
          <w:rFonts w:ascii="Calibri" w:hAnsi="Calibri" w:cs="Calibri"/>
          <w:b/>
          <w:bCs/>
          <w:color w:val="0070C0"/>
          <w:lang w:val="ro-RO"/>
        </w:rPr>
      </w:pPr>
      <w:r w:rsidRPr="00FF34E9">
        <w:rPr>
          <w:rFonts w:ascii="Calibri" w:hAnsi="Calibri" w:cs="Calibri"/>
          <w:b/>
          <w:bCs/>
          <w:color w:val="0070C0"/>
          <w:sz w:val="22"/>
          <w:szCs w:val="22"/>
          <w:lang w:val="ro-RO"/>
        </w:rPr>
        <w:t>Anexa nr. 19 la Ghidul Solicitantului aferent Programului Tranziție Justă 2021-2027, pentru acțiunea „Energie verde accesibilă și mobilitate nepoluantă”, componenta „Dezvoltarea surselor de energie regenerabilă  în perspectiva creării comunităților de energie”</w:t>
      </w:r>
    </w:p>
    <w:p w14:paraId="72B92B30" w14:textId="77777777" w:rsidR="00572B75" w:rsidRDefault="00572B75" w:rsidP="00CE015A">
      <w:pPr>
        <w:spacing w:line="200" w:lineRule="exact"/>
        <w:jc w:val="right"/>
        <w:rPr>
          <w:rFonts w:ascii="Calibri" w:hAnsi="Calibri" w:cs="Calibri"/>
          <w:b/>
          <w:bCs/>
          <w:color w:val="0070C0"/>
          <w:lang w:val="ro-RO"/>
        </w:rPr>
      </w:pPr>
    </w:p>
    <w:p w14:paraId="4CB6615E" w14:textId="77777777" w:rsidR="00E50D77" w:rsidRPr="00047930" w:rsidRDefault="00E50D77" w:rsidP="00CE015A">
      <w:pPr>
        <w:spacing w:line="200" w:lineRule="exact"/>
        <w:jc w:val="both"/>
        <w:rPr>
          <w:rFonts w:ascii="Calibri" w:hAnsi="Calibri" w:cs="Calibri"/>
          <w:color w:val="0070C0"/>
          <w:lang w:val="ro-RO"/>
        </w:rPr>
      </w:pPr>
    </w:p>
    <w:p w14:paraId="7B75B30B" w14:textId="77777777" w:rsidR="00E50D77" w:rsidRPr="00047930" w:rsidRDefault="00E50D77" w:rsidP="00CE015A">
      <w:pPr>
        <w:spacing w:line="200" w:lineRule="exact"/>
        <w:jc w:val="both"/>
        <w:rPr>
          <w:rFonts w:ascii="Calibri" w:hAnsi="Calibri" w:cs="Calibri"/>
          <w:lang w:val="ro-RO"/>
        </w:rPr>
      </w:pPr>
    </w:p>
    <w:p w14:paraId="6D629E4A" w14:textId="70FE91CB" w:rsidR="00E50D77" w:rsidRPr="00047930" w:rsidRDefault="00E50D77" w:rsidP="00BF50ED">
      <w:pPr>
        <w:tabs>
          <w:tab w:val="left" w:pos="2280"/>
        </w:tabs>
        <w:spacing w:line="200" w:lineRule="exact"/>
        <w:jc w:val="both"/>
        <w:rPr>
          <w:rFonts w:ascii="Calibri" w:hAnsi="Calibri" w:cs="Calibri"/>
          <w:lang w:val="ro-RO"/>
        </w:rPr>
      </w:pPr>
    </w:p>
    <w:p w14:paraId="14A23F0D" w14:textId="77777777" w:rsidR="00FD2DAD" w:rsidRPr="00FD2DAD" w:rsidRDefault="00FD2DAD" w:rsidP="00FD2DAD">
      <w:pPr>
        <w:spacing w:before="29" w:line="240" w:lineRule="exact"/>
        <w:ind w:right="18"/>
        <w:jc w:val="center"/>
        <w:rPr>
          <w:rFonts w:ascii="Calibri" w:eastAsia="Arial" w:hAnsi="Calibri" w:cs="Calibri"/>
          <w:b/>
          <w:bCs/>
          <w:i/>
          <w:iCs/>
          <w:spacing w:val="-1"/>
          <w:position w:val="-1"/>
          <w:sz w:val="24"/>
          <w:szCs w:val="24"/>
          <w:lang w:val="ro-RO"/>
        </w:rPr>
      </w:pPr>
      <w:r w:rsidRPr="00FD2DAD">
        <w:rPr>
          <w:rFonts w:ascii="Calibri" w:eastAsia="Arial" w:hAnsi="Calibri" w:cs="Calibri"/>
          <w:b/>
          <w:bCs/>
          <w:i/>
          <w:iCs/>
          <w:spacing w:val="-1"/>
          <w:position w:val="-1"/>
          <w:sz w:val="24"/>
          <w:szCs w:val="24"/>
          <w:lang w:val="ro-RO"/>
        </w:rPr>
        <w:t xml:space="preserve">Condiții specifice </w:t>
      </w:r>
      <w:r w:rsidRPr="00FD2DAD">
        <w:rPr>
          <w:rFonts w:ascii="Calibri" w:eastAsia="Arial" w:hAnsi="Calibri" w:cs="Calibri"/>
          <w:b/>
          <w:i/>
          <w:iCs/>
          <w:spacing w:val="-1"/>
          <w:position w:val="-1"/>
          <w:sz w:val="24"/>
          <w:szCs w:val="24"/>
          <w:lang w:val="ro-RO"/>
        </w:rPr>
        <w:t>ale contractului de finanțare</w:t>
      </w:r>
    </w:p>
    <w:p w14:paraId="6349C3FE" w14:textId="3D704DF2" w:rsidR="009D5992" w:rsidRPr="00047930" w:rsidRDefault="009D5992"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position w:val="-1"/>
          <w:lang w:val="ro-RO"/>
        </w:rPr>
        <w:t>(</w:t>
      </w:r>
      <w:r w:rsidR="00C22186" w:rsidRPr="00047930">
        <w:rPr>
          <w:rFonts w:ascii="Calibri" w:eastAsia="Arial" w:hAnsi="Calibri" w:cs="Calibri"/>
          <w:b/>
          <w:i/>
          <w:iCs/>
          <w:position w:val="-1"/>
          <w:lang w:val="ro-RO"/>
        </w:rPr>
        <w:t>Model</w:t>
      </w:r>
      <w:r w:rsidRPr="00047930">
        <w:rPr>
          <w:rFonts w:ascii="Calibri" w:eastAsia="Arial" w:hAnsi="Calibri" w:cs="Calibri"/>
          <w:b/>
          <w:i/>
          <w:iCs/>
          <w:position w:val="-1"/>
          <w:lang w:val="ro-RO"/>
        </w:rPr>
        <w:t>)</w:t>
      </w:r>
    </w:p>
    <w:p w14:paraId="225831B4" w14:textId="08684DA8" w:rsidR="00AE7787" w:rsidRPr="00047930" w:rsidRDefault="00AE7787" w:rsidP="00CE015A">
      <w:pPr>
        <w:spacing w:before="29" w:line="240" w:lineRule="exact"/>
        <w:ind w:right="3151"/>
        <w:jc w:val="both"/>
        <w:rPr>
          <w:rFonts w:ascii="Calibri" w:eastAsia="Arial" w:hAnsi="Calibri" w:cs="Calibri"/>
          <w:b/>
          <w:i/>
          <w:iCs/>
          <w:position w:val="-1"/>
          <w:lang w:val="ro-RO"/>
        </w:rPr>
      </w:pPr>
    </w:p>
    <w:p w14:paraId="428B35D2" w14:textId="10764D28" w:rsidR="00E50D77" w:rsidRPr="00047930" w:rsidRDefault="00E50D77" w:rsidP="00CE015A">
      <w:pPr>
        <w:spacing w:line="200" w:lineRule="exact"/>
        <w:jc w:val="both"/>
        <w:rPr>
          <w:rFonts w:ascii="Calibri" w:hAnsi="Calibri" w:cs="Calibri"/>
          <w:lang w:val="ro-RO"/>
        </w:rPr>
      </w:pPr>
    </w:p>
    <w:p w14:paraId="1D0AEFA1" w14:textId="77777777" w:rsidR="00047930" w:rsidRDefault="00047930" w:rsidP="00CE015A">
      <w:pPr>
        <w:tabs>
          <w:tab w:val="left" w:pos="450"/>
        </w:tabs>
        <w:ind w:right="75"/>
        <w:jc w:val="both"/>
        <w:rPr>
          <w:rFonts w:ascii="Calibri" w:eastAsia="Arial" w:hAnsi="Calibri" w:cs="Calibri"/>
          <w:b/>
          <w:spacing w:val="1"/>
          <w:lang w:val="ro-RO"/>
        </w:rPr>
      </w:pPr>
    </w:p>
    <w:p w14:paraId="20CD5951" w14:textId="77777777" w:rsidR="00047930" w:rsidRDefault="00047930" w:rsidP="00CE015A">
      <w:pPr>
        <w:tabs>
          <w:tab w:val="left" w:pos="450"/>
        </w:tabs>
        <w:ind w:right="75"/>
        <w:jc w:val="both"/>
        <w:rPr>
          <w:rFonts w:ascii="Calibri" w:eastAsia="Arial" w:hAnsi="Calibri" w:cs="Calibri"/>
          <w:b/>
          <w:spacing w:val="1"/>
          <w:lang w:val="ro-RO"/>
        </w:rPr>
      </w:pPr>
    </w:p>
    <w:p w14:paraId="21A6FD35" w14:textId="2E599B3C" w:rsidR="00600555" w:rsidRDefault="00600555" w:rsidP="00CE015A">
      <w:pPr>
        <w:tabs>
          <w:tab w:val="left" w:pos="450"/>
        </w:tabs>
        <w:ind w:right="75"/>
        <w:jc w:val="both"/>
        <w:rPr>
          <w:rFonts w:ascii="Calibri" w:eastAsia="Arial" w:hAnsi="Calibri" w:cs="Calibri"/>
          <w:spacing w:val="1"/>
          <w:lang w:val="ro-RO"/>
        </w:rPr>
      </w:pPr>
    </w:p>
    <w:p w14:paraId="28674C01" w14:textId="3A8A8F9F" w:rsidR="008635C2" w:rsidRPr="00047930" w:rsidRDefault="008635C2" w:rsidP="00CE015A">
      <w:pPr>
        <w:tabs>
          <w:tab w:val="left" w:pos="450"/>
        </w:tabs>
        <w:ind w:right="75"/>
        <w:jc w:val="both"/>
        <w:rPr>
          <w:rFonts w:ascii="Calibri" w:eastAsia="Arial" w:hAnsi="Calibri" w:cs="Calibri"/>
          <w:spacing w:val="1"/>
          <w:lang w:val="ro-RO"/>
        </w:rPr>
      </w:pPr>
      <w:r w:rsidRPr="00047930">
        <w:rPr>
          <w:rFonts w:ascii="Calibri" w:eastAsia="Arial" w:hAnsi="Calibri" w:cs="Calibri"/>
          <w:b/>
          <w:spacing w:val="1"/>
          <w:lang w:val="ro-RO"/>
        </w:rPr>
        <w:t xml:space="preserve">Secțiunea I – Condiții specifice aplicabile </w:t>
      </w:r>
    </w:p>
    <w:p w14:paraId="5F5F5376" w14:textId="1C14FD95" w:rsidR="00211BC2" w:rsidRPr="00047930" w:rsidRDefault="00211BC2"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privind rambursarea/plata cheltuielilor:</w:t>
      </w:r>
    </w:p>
    <w:p w14:paraId="2D2C9D50" w14:textId="76126A0F"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4A0CA93D"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w:t>
      </w:r>
      <w:r w:rsidRPr="00425F80">
        <w:rPr>
          <w:rFonts w:ascii="Calibri" w:eastAsia="Arial" w:hAnsi="Calibri" w:cs="Calibri"/>
          <w:lang w:val="ro-RO"/>
        </w:rPr>
        <w:t>Anexa 1 - Cererea</w:t>
      </w:r>
      <w:r w:rsidRPr="00047930">
        <w:rPr>
          <w:rFonts w:ascii="Calibri" w:eastAsia="Arial" w:hAnsi="Calibri" w:cs="Calibri"/>
          <w:lang w:val="ro-RO"/>
        </w:rPr>
        <w:t xml:space="preserve">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F47280" w:rsidRDefault="00211BC2" w:rsidP="00CE015A">
      <w:pPr>
        <w:numPr>
          <w:ilvl w:val="0"/>
          <w:numId w:val="59"/>
        </w:numPr>
        <w:spacing w:after="40"/>
        <w:jc w:val="both"/>
        <w:rPr>
          <w:rFonts w:ascii="Calibri" w:hAnsi="Calibri" w:cs="Calibri"/>
          <w:iCs/>
          <w:noProof/>
          <w:lang w:val="pt-BR" w:eastAsia="sk-SK"/>
        </w:rPr>
      </w:pPr>
      <w:r w:rsidRPr="00F47280">
        <w:rPr>
          <w:rFonts w:ascii="Calibri" w:hAnsi="Calibri" w:cs="Calibri"/>
          <w:iCs/>
          <w:noProof/>
          <w:lang w:val="pt-BR" w:eastAsia="sk-SK"/>
        </w:rPr>
        <w:t>în perioada de implementare a activităților efectuate după semnarea Contractului de finanțare, exclusiv în scopul realizării proiectului,</w:t>
      </w:r>
    </w:p>
    <w:p w14:paraId="578C8FF6" w14:textId="77777777"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04D5DD84" w14:textId="0060D7EC"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47930">
        <w:rPr>
          <w:rFonts w:ascii="Calibri" w:eastAsia="Arial" w:hAnsi="Calibri" w:cs="Calibri"/>
          <w:lang w:val="ro-RO"/>
        </w:rPr>
        <w:t xml:space="preserve">ariei asociate apelului de proiecte </w:t>
      </w:r>
      <w:r w:rsidRPr="00047930">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654D284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nu întreprinde nici o acţiune de natură a afecta condițiile de construire/exploatare asupra infrastructurii (teren și/sau clădire) aferente proiectului până la finalizarea perioadei de durabilitate prevăzută la art. 2, alin. (5) din </w:t>
      </w:r>
      <w:r w:rsidR="0025774A" w:rsidRPr="0025774A">
        <w:rPr>
          <w:rFonts w:ascii="Calibri" w:eastAsia="Arial" w:hAnsi="Calibri" w:cs="Calibri"/>
          <w:lang w:val="ro-RO"/>
        </w:rPr>
        <w:t xml:space="preserve">Contractul de finanțare – </w:t>
      </w:r>
      <w:r w:rsidRPr="00047930">
        <w:rPr>
          <w:rFonts w:ascii="Calibri" w:eastAsia="Arial" w:hAnsi="Calibri" w:cs="Calibri"/>
          <w:lang w:val="ro-RO"/>
        </w:rPr>
        <w:t>Condițiile generale.</w:t>
      </w:r>
    </w:p>
    <w:p w14:paraId="59E3B148" w14:textId="0035C79C" w:rsidR="00211BC2" w:rsidRPr="00BF50ED"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Beneficiarul are obligaţia de a menține investiția realizată din contribuția din fonduri europene </w:t>
      </w:r>
      <w:r w:rsidRPr="00BF50ED">
        <w:rPr>
          <w:rFonts w:ascii="Calibri" w:eastAsia="Arial" w:hAnsi="Calibri" w:cs="Calibri"/>
          <w:lang w:val="ro-RO"/>
        </w:rPr>
        <w:t>structurale şi de investiţii (FESI) pe o perioadă de cinci ani (după caz) de la efectuarea plății finale</w:t>
      </w:r>
      <w:r w:rsidR="00045FBB" w:rsidRPr="00BF50ED">
        <w:rPr>
          <w:rFonts w:ascii="Calibri" w:eastAsia="Arial" w:hAnsi="Calibri" w:cs="Calibri"/>
          <w:lang w:val="ro-RO"/>
        </w:rPr>
        <w:t>.</w:t>
      </w:r>
      <w:r w:rsidRPr="00BF50ED">
        <w:rPr>
          <w:rFonts w:ascii="Calibri" w:eastAsia="Arial" w:hAnsi="Calibri" w:cs="Calibri"/>
          <w:lang w:val="ro-RO"/>
        </w:rPr>
        <w:t xml:space="preserve"> </w:t>
      </w:r>
    </w:p>
    <w:p w14:paraId="0F14F079" w14:textId="4D15A57A" w:rsidR="00211BC2" w:rsidRPr="00BF50ED" w:rsidRDefault="00211BC2" w:rsidP="00CE015A">
      <w:pPr>
        <w:pStyle w:val="ListParagraph"/>
        <w:numPr>
          <w:ilvl w:val="0"/>
          <w:numId w:val="58"/>
        </w:numPr>
        <w:ind w:left="478"/>
        <w:jc w:val="both"/>
        <w:rPr>
          <w:rFonts w:ascii="Calibri" w:eastAsia="Arial" w:hAnsi="Calibri" w:cs="Calibri"/>
          <w:lang w:val="ro-RO"/>
        </w:rPr>
      </w:pPr>
      <w:r w:rsidRPr="00BF50ED">
        <w:rPr>
          <w:rFonts w:ascii="Calibri" w:eastAsia="Arial" w:hAnsi="Calibri" w:cs="Calibri"/>
          <w:lang w:val="ro-RO"/>
        </w:rPr>
        <w:lastRenderedPageBreak/>
        <w:t xml:space="preserve">Beneficiarul are obligaţia de a respecta Anexa  </w:t>
      </w:r>
      <w:r w:rsidR="00113044" w:rsidRPr="00BF50ED">
        <w:rPr>
          <w:rFonts w:ascii="Calibri" w:eastAsia="Arial" w:hAnsi="Calibri" w:cs="Calibri"/>
          <w:lang w:val="ro-RO"/>
        </w:rPr>
        <w:t xml:space="preserve">3 </w:t>
      </w:r>
      <w:r w:rsidRPr="00BF50ED">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6E86F95" w14:textId="77777777" w:rsidR="00013D97"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6ABC9345" w14:textId="77777777" w:rsidR="00290031" w:rsidRPr="0035741F" w:rsidRDefault="00290031" w:rsidP="0035741F">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Beneficiarul se obligă să asigure un procent minim de 2% de cofinanțare proprie din totalul cheltuielilor eligibile.</w:t>
      </w:r>
    </w:p>
    <w:p w14:paraId="4F049202" w14:textId="7FA4D044" w:rsidR="00290031" w:rsidRPr="00776C00" w:rsidRDefault="00290031" w:rsidP="00776C00">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 xml:space="preserve">Beneficiarul își asumă obligația ca costurile eligibile indirecte să reprezinte 7% </w:t>
      </w:r>
      <w:bookmarkStart w:id="0" w:name="_Hlk149000486"/>
      <w:r w:rsidRPr="0035741F">
        <w:rPr>
          <w:rFonts w:ascii="Calibri" w:eastAsia="Arial" w:hAnsi="Calibri" w:cs="Calibri"/>
          <w:lang w:val="ro-RO"/>
        </w:rPr>
        <w:t>din costurile directe eligibile</w:t>
      </w:r>
      <w:bookmarkEnd w:id="0"/>
      <w:r w:rsidRPr="0035741F">
        <w:rPr>
          <w:rFonts w:ascii="Calibri" w:eastAsia="Arial" w:hAnsi="Calibri" w:cs="Calibri"/>
          <w:lang w:val="ro-RO"/>
        </w:rPr>
        <w:t xml:space="preserve"> și să aibă în vedere să fie toate acele cheltuieli care nu se încadrează în categoria cheltuielilor directe și care sprijină transversal implementarea proiectului.</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Pr="009010D7"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lastRenderedPageBreak/>
        <w:t xml:space="preserve">(d) Beneficiarul are obligaţia de a informa AM în termen de 15 (cincisprezece) zile calendaristice de la data apariţiei oricărei situaţii care determină sau poate determina neeligibilitatea proiectului, AM putând să </w:t>
      </w:r>
      <w:r w:rsidRPr="009010D7">
        <w:rPr>
          <w:rFonts w:ascii="Calibri" w:eastAsia="Arial" w:hAnsi="Calibri" w:cs="Calibri"/>
          <w:color w:val="auto"/>
          <w:sz w:val="20"/>
          <w:szCs w:val="20"/>
        </w:rPr>
        <w:t>decidă asupra suspendării sau rezilierii Contractului de finanţare.</w:t>
      </w:r>
    </w:p>
    <w:p w14:paraId="3C88D73B" w14:textId="65209480" w:rsidR="00191245" w:rsidRPr="009010D7" w:rsidRDefault="00191245" w:rsidP="009A41E9">
      <w:pPr>
        <w:pStyle w:val="Default"/>
        <w:spacing w:before="60"/>
        <w:ind w:left="360"/>
        <w:jc w:val="both"/>
        <w:rPr>
          <w:rFonts w:ascii="Calibri" w:eastAsia="Arial" w:hAnsi="Calibri" w:cs="Calibri"/>
          <w:color w:val="auto"/>
          <w:sz w:val="20"/>
          <w:szCs w:val="20"/>
        </w:rPr>
      </w:pPr>
      <w:r w:rsidRPr="009010D7">
        <w:rPr>
          <w:rFonts w:ascii="Calibri" w:eastAsia="Arial" w:hAnsi="Calibri" w:cs="Calibri"/>
          <w:color w:val="auto"/>
          <w:sz w:val="20"/>
          <w:szCs w:val="20"/>
        </w:rPr>
        <w:t>(24) Beneficiarul are obligația de utiliza energia termică și/sau electrică produsă prin capacitățile de producție finanțate exclusiv pentru consumul propriu al locului de consum din proiect, conform necesarului de consum estimat (clădiri publice sau gospodării, după caz), pe toată perioada de durabilitate a proiectului.</w:t>
      </w:r>
    </w:p>
    <w:p w14:paraId="517F2664" w14:textId="314D7C6D" w:rsidR="00191245" w:rsidRPr="009010D7" w:rsidRDefault="00191245" w:rsidP="009A41E9">
      <w:pPr>
        <w:pStyle w:val="Default"/>
        <w:spacing w:before="60"/>
        <w:ind w:left="360"/>
        <w:jc w:val="both"/>
        <w:rPr>
          <w:rFonts w:ascii="Calibri" w:eastAsia="Arial" w:hAnsi="Calibri" w:cs="Calibri"/>
          <w:color w:val="auto"/>
          <w:sz w:val="20"/>
          <w:szCs w:val="20"/>
        </w:rPr>
      </w:pPr>
      <w:r w:rsidRPr="009010D7">
        <w:rPr>
          <w:rFonts w:ascii="Calibri" w:eastAsia="Arial" w:hAnsi="Calibri" w:cs="Calibri"/>
          <w:color w:val="auto"/>
          <w:sz w:val="20"/>
          <w:szCs w:val="20"/>
        </w:rPr>
        <w:t>(25) Beneficiarul are obligația de a constitui comunitatea de energie regenerabilă</w:t>
      </w:r>
      <w:r w:rsidR="007742D1" w:rsidRPr="009010D7">
        <w:rPr>
          <w:rFonts w:ascii="Calibri" w:eastAsia="Arial" w:hAnsi="Calibri" w:cs="Calibri"/>
          <w:color w:val="auto"/>
          <w:sz w:val="20"/>
          <w:szCs w:val="20"/>
        </w:rPr>
        <w:t xml:space="preserve"> până la finalul perioadei de durabilitate a proiectului, comunitate</w:t>
      </w:r>
      <w:r w:rsidRPr="009010D7">
        <w:rPr>
          <w:rFonts w:ascii="Calibri" w:eastAsia="Arial" w:hAnsi="Calibri" w:cs="Calibri"/>
          <w:color w:val="auto"/>
          <w:sz w:val="20"/>
          <w:szCs w:val="20"/>
        </w:rPr>
        <w:t xml:space="preserve"> care va cuprinde, după caz,</w:t>
      </w:r>
      <w:r w:rsidR="007742D1" w:rsidRPr="009010D7">
        <w:rPr>
          <w:rFonts w:ascii="Calibri" w:eastAsia="Arial" w:hAnsi="Calibri" w:cs="Calibri"/>
          <w:color w:val="auto"/>
          <w:sz w:val="20"/>
          <w:szCs w:val="20"/>
        </w:rPr>
        <w:t xml:space="preserve"> cel puțin</w:t>
      </w:r>
      <w:r w:rsidRPr="009010D7">
        <w:rPr>
          <w:rFonts w:ascii="Calibri" w:eastAsia="Arial" w:hAnsi="Calibri" w:cs="Calibri"/>
          <w:color w:val="auto"/>
          <w:sz w:val="20"/>
          <w:szCs w:val="20"/>
        </w:rPr>
        <w:t xml:space="preserve"> gospodăriile </w:t>
      </w:r>
      <w:r w:rsidR="007742D1" w:rsidRPr="009010D7">
        <w:rPr>
          <w:rFonts w:ascii="Calibri" w:eastAsia="Arial" w:hAnsi="Calibri" w:cs="Calibri"/>
          <w:color w:val="auto"/>
          <w:sz w:val="20"/>
          <w:szCs w:val="20"/>
        </w:rPr>
        <w:t xml:space="preserve">specificate în </w:t>
      </w:r>
      <w:r w:rsidRPr="009010D7">
        <w:rPr>
          <w:rFonts w:ascii="Calibri" w:eastAsia="Arial" w:hAnsi="Calibri" w:cs="Calibri"/>
          <w:color w:val="auto"/>
          <w:sz w:val="20"/>
          <w:szCs w:val="20"/>
        </w:rPr>
        <w:t xml:space="preserve"> List</w:t>
      </w:r>
      <w:r w:rsidR="007742D1" w:rsidRPr="009010D7">
        <w:rPr>
          <w:rFonts w:ascii="Calibri" w:eastAsia="Arial" w:hAnsi="Calibri" w:cs="Calibri"/>
          <w:color w:val="auto"/>
          <w:sz w:val="20"/>
          <w:szCs w:val="20"/>
        </w:rPr>
        <w:t>a</w:t>
      </w:r>
      <w:r w:rsidRPr="009010D7">
        <w:rPr>
          <w:rFonts w:ascii="Calibri" w:eastAsia="Arial" w:hAnsi="Calibri" w:cs="Calibri"/>
          <w:color w:val="auto"/>
          <w:sz w:val="20"/>
          <w:szCs w:val="20"/>
        </w:rPr>
        <w:t xml:space="preserve"> de angajament depu</w:t>
      </w:r>
      <w:r w:rsidR="007742D1" w:rsidRPr="009010D7">
        <w:rPr>
          <w:rFonts w:ascii="Calibri" w:eastAsia="Arial" w:hAnsi="Calibri" w:cs="Calibri"/>
          <w:color w:val="auto"/>
          <w:sz w:val="20"/>
          <w:szCs w:val="20"/>
        </w:rPr>
        <w:t>să împreună cu Cererea de finanțare sau minim 5 gospodării din teritoriul UAT/ județului beneficiar, care îndeplinesc condițiile legislației specifice în vigoare</w:t>
      </w:r>
      <w:r w:rsidR="009010D7" w:rsidRPr="009010D7">
        <w:rPr>
          <w:rFonts w:ascii="Calibri" w:eastAsia="Arial" w:hAnsi="Calibri" w:cs="Calibri"/>
          <w:color w:val="auto"/>
          <w:sz w:val="20"/>
          <w:szCs w:val="20"/>
        </w:rPr>
        <w:t xml:space="preserve"> și ale PTJ</w:t>
      </w:r>
      <w:r w:rsidR="007742D1" w:rsidRPr="009010D7">
        <w:rPr>
          <w:rFonts w:ascii="Calibri" w:eastAsia="Arial" w:hAnsi="Calibri" w:cs="Calibri"/>
          <w:color w:val="auto"/>
          <w:sz w:val="20"/>
          <w:szCs w:val="20"/>
        </w:rPr>
        <w:t>.</w:t>
      </w:r>
    </w:p>
    <w:p w14:paraId="6C3A2CAC" w14:textId="2D15496B" w:rsidR="00914C6E" w:rsidRPr="009010D7" w:rsidRDefault="00914C6E" w:rsidP="009A41E9">
      <w:pPr>
        <w:pStyle w:val="Default"/>
        <w:spacing w:before="60"/>
        <w:ind w:left="360"/>
        <w:jc w:val="both"/>
        <w:rPr>
          <w:rFonts w:ascii="Calibri" w:eastAsia="Arial" w:hAnsi="Calibri" w:cs="Calibri"/>
          <w:color w:val="auto"/>
          <w:sz w:val="20"/>
          <w:szCs w:val="20"/>
        </w:rPr>
      </w:pPr>
      <w:r w:rsidRPr="009010D7">
        <w:rPr>
          <w:rFonts w:ascii="Calibri" w:eastAsia="Arial" w:hAnsi="Calibri" w:cs="Calibri"/>
          <w:color w:val="auto"/>
          <w:sz w:val="20"/>
          <w:szCs w:val="20"/>
        </w:rPr>
        <w:t>(26)</w:t>
      </w:r>
      <w:r w:rsidRPr="009010D7">
        <w:rPr>
          <w:rFonts w:ascii="Calibri" w:eastAsia="Arial" w:hAnsi="Calibri" w:cs="Calibri"/>
          <w:color w:val="auto"/>
          <w:sz w:val="20"/>
          <w:szCs w:val="20"/>
        </w:rPr>
        <w:tab/>
        <w:t>Beneficiarul are obligația publicării anunțului  de participare/simplificat/de concurs de soluții etc. pentru achiziția/achizițiile echipamentelor</w:t>
      </w:r>
      <w:r w:rsidR="00553559" w:rsidRPr="009010D7">
        <w:rPr>
          <w:rFonts w:ascii="Calibri" w:eastAsia="Arial" w:hAnsi="Calibri" w:cs="Calibri"/>
          <w:color w:val="auto"/>
          <w:sz w:val="20"/>
          <w:szCs w:val="20"/>
        </w:rPr>
        <w:t xml:space="preserve">/ instalațiilor pentru producerea de energie (electrică/termică) aferente proiectului și pentru achiziția serviciilor de montaj/ </w:t>
      </w:r>
      <w:r w:rsidRPr="009010D7">
        <w:rPr>
          <w:rFonts w:ascii="Calibri" w:eastAsia="Arial" w:hAnsi="Calibri" w:cs="Calibri"/>
          <w:color w:val="auto"/>
          <w:sz w:val="20"/>
          <w:szCs w:val="20"/>
        </w:rPr>
        <w:t xml:space="preserve"> instala</w:t>
      </w:r>
      <w:r w:rsidR="00553559" w:rsidRPr="009010D7">
        <w:rPr>
          <w:rFonts w:ascii="Calibri" w:eastAsia="Arial" w:hAnsi="Calibri" w:cs="Calibri"/>
          <w:color w:val="auto"/>
          <w:sz w:val="20"/>
          <w:szCs w:val="20"/>
        </w:rPr>
        <w:t xml:space="preserve">re </w:t>
      </w:r>
      <w:r w:rsidRPr="009010D7">
        <w:rPr>
          <w:rFonts w:ascii="Calibri" w:eastAsia="Arial" w:hAnsi="Calibri" w:cs="Calibri"/>
          <w:color w:val="auto"/>
          <w:sz w:val="20"/>
          <w:szCs w:val="20"/>
        </w:rPr>
        <w:t xml:space="preserve">care vor asigura </w:t>
      </w:r>
      <w:r w:rsidR="00553559" w:rsidRPr="009010D7">
        <w:rPr>
          <w:rFonts w:ascii="Calibri" w:eastAsia="Arial" w:hAnsi="Calibri" w:cs="Calibri"/>
          <w:color w:val="auto"/>
          <w:sz w:val="20"/>
          <w:szCs w:val="20"/>
        </w:rPr>
        <w:t>funcționarea acestora, precum și realizarea achiziției, inclusiv pentru gospodăriile incluse în proiect, în situația în care acestea există.</w:t>
      </w:r>
    </w:p>
    <w:p w14:paraId="526B9BAD" w14:textId="7491722F" w:rsidR="00553559" w:rsidRDefault="00553559" w:rsidP="009A41E9">
      <w:pPr>
        <w:pStyle w:val="Default"/>
        <w:spacing w:before="60"/>
        <w:ind w:left="360"/>
        <w:jc w:val="both"/>
        <w:rPr>
          <w:rFonts w:ascii="Calibri" w:eastAsia="Arial" w:hAnsi="Calibri" w:cs="Calibri"/>
          <w:color w:val="auto"/>
          <w:sz w:val="20"/>
          <w:szCs w:val="20"/>
        </w:rPr>
      </w:pPr>
      <w:r w:rsidRPr="009010D7">
        <w:rPr>
          <w:rFonts w:ascii="Calibri" w:eastAsia="Arial" w:hAnsi="Calibri" w:cs="Calibri"/>
          <w:color w:val="auto"/>
          <w:sz w:val="20"/>
          <w:szCs w:val="20"/>
        </w:rPr>
        <w:t>(27)</w:t>
      </w:r>
      <w:r w:rsidR="00AB57AA" w:rsidRPr="009010D7">
        <w:rPr>
          <w:rFonts w:ascii="Calibri" w:eastAsia="Arial" w:hAnsi="Calibri" w:cs="Calibri"/>
          <w:color w:val="auto"/>
          <w:sz w:val="20"/>
          <w:szCs w:val="20"/>
        </w:rPr>
        <w:t xml:space="preserve"> Beneficiarul se va asigura că</w:t>
      </w:r>
      <w:r w:rsidRPr="009010D7">
        <w:rPr>
          <w:rFonts w:ascii="Calibri" w:eastAsia="Arial" w:hAnsi="Calibri" w:cs="Calibri"/>
          <w:color w:val="auto"/>
          <w:sz w:val="20"/>
          <w:szCs w:val="20"/>
        </w:rPr>
        <w:t xml:space="preserve"> </w:t>
      </w:r>
      <w:r w:rsidR="006A1AFE" w:rsidRPr="009010D7">
        <w:rPr>
          <w:rFonts w:ascii="Calibri" w:eastAsia="Arial" w:hAnsi="Calibri" w:cs="Calibri"/>
          <w:color w:val="auto"/>
          <w:sz w:val="20"/>
          <w:szCs w:val="20"/>
        </w:rPr>
        <w:t xml:space="preserve">până </w:t>
      </w:r>
      <w:r w:rsidR="00AB57AA" w:rsidRPr="009010D7">
        <w:rPr>
          <w:rFonts w:ascii="Calibri" w:eastAsia="Arial" w:hAnsi="Calibri" w:cs="Calibri"/>
          <w:color w:val="auto"/>
          <w:sz w:val="20"/>
          <w:szCs w:val="20"/>
        </w:rPr>
        <w:t>l</w:t>
      </w:r>
      <w:r w:rsidRPr="009010D7">
        <w:rPr>
          <w:rFonts w:ascii="Calibri" w:eastAsia="Arial" w:hAnsi="Calibri" w:cs="Calibri"/>
          <w:color w:val="auto"/>
          <w:sz w:val="20"/>
          <w:szCs w:val="20"/>
        </w:rPr>
        <w:t xml:space="preserve">a finalul </w:t>
      </w:r>
      <w:r w:rsidR="00AB57AA" w:rsidRPr="009010D7">
        <w:rPr>
          <w:rFonts w:ascii="Calibri" w:eastAsia="Arial" w:hAnsi="Calibri" w:cs="Calibri"/>
          <w:color w:val="auto"/>
          <w:sz w:val="20"/>
          <w:szCs w:val="20"/>
        </w:rPr>
        <w:t>perioadei de durabilitate</w:t>
      </w:r>
      <w:r w:rsidR="006A1AFE" w:rsidRPr="009010D7">
        <w:rPr>
          <w:rFonts w:ascii="Calibri" w:eastAsia="Arial" w:hAnsi="Calibri" w:cs="Calibri"/>
          <w:color w:val="auto"/>
          <w:sz w:val="20"/>
          <w:szCs w:val="20"/>
        </w:rPr>
        <w:t>,</w:t>
      </w:r>
      <w:r w:rsidR="00AB57AA" w:rsidRPr="009010D7">
        <w:rPr>
          <w:rFonts w:ascii="Calibri" w:eastAsia="Arial" w:hAnsi="Calibri" w:cs="Calibri"/>
          <w:color w:val="auto"/>
          <w:sz w:val="20"/>
          <w:szCs w:val="20"/>
        </w:rPr>
        <w:t xml:space="preserve"> </w:t>
      </w:r>
      <w:r w:rsidR="006A1AFE" w:rsidRPr="009010D7">
        <w:rPr>
          <w:rFonts w:ascii="Calibri" w:eastAsia="Arial" w:hAnsi="Calibri" w:cs="Calibri"/>
          <w:color w:val="auto"/>
          <w:sz w:val="20"/>
          <w:szCs w:val="20"/>
        </w:rPr>
        <w:t>echipamentele de producere și de stocare și instalațiile aferente pentru operaționalizarea acestora</w:t>
      </w:r>
      <w:r w:rsidR="00B00ABE" w:rsidRPr="00B00ABE">
        <w:rPr>
          <w:rFonts w:ascii="Calibri" w:eastAsia="Arial" w:hAnsi="Calibri" w:cs="Calibri"/>
          <w:color w:val="auto"/>
          <w:sz w:val="20"/>
          <w:szCs w:val="20"/>
        </w:rPr>
        <w:t xml:space="preserve"> </w:t>
      </w:r>
      <w:r w:rsidR="00B00ABE" w:rsidRPr="009010D7">
        <w:rPr>
          <w:rFonts w:ascii="Calibri" w:eastAsia="Arial" w:hAnsi="Calibri" w:cs="Calibri"/>
          <w:color w:val="auto"/>
          <w:sz w:val="20"/>
          <w:szCs w:val="20"/>
        </w:rPr>
        <w:t>finanțate prin prezentul contract de fina</w:t>
      </w:r>
      <w:r w:rsidR="00B00ABE">
        <w:rPr>
          <w:rFonts w:ascii="Calibri" w:eastAsia="Arial" w:hAnsi="Calibri" w:cs="Calibri"/>
          <w:color w:val="auto"/>
          <w:sz w:val="20"/>
          <w:szCs w:val="20"/>
        </w:rPr>
        <w:t>n</w:t>
      </w:r>
      <w:r w:rsidR="00B00ABE" w:rsidRPr="009010D7">
        <w:rPr>
          <w:rFonts w:ascii="Calibri" w:eastAsia="Arial" w:hAnsi="Calibri" w:cs="Calibri"/>
          <w:color w:val="auto"/>
          <w:sz w:val="20"/>
          <w:szCs w:val="20"/>
        </w:rPr>
        <w:t>țare</w:t>
      </w:r>
      <w:r w:rsidR="00B00ABE">
        <w:rPr>
          <w:rFonts w:ascii="Calibri" w:eastAsia="Arial" w:hAnsi="Calibri" w:cs="Calibri"/>
          <w:color w:val="auto"/>
          <w:sz w:val="20"/>
          <w:szCs w:val="20"/>
        </w:rPr>
        <w:t>,</w:t>
      </w:r>
      <w:r w:rsidR="006A1AFE" w:rsidRPr="009010D7">
        <w:rPr>
          <w:rFonts w:ascii="Calibri" w:eastAsia="Arial" w:hAnsi="Calibri" w:cs="Calibri"/>
          <w:color w:val="auto"/>
          <w:sz w:val="20"/>
          <w:szCs w:val="20"/>
        </w:rPr>
        <w:t xml:space="preserve"> de care beneficiază fiecare gospodărie individuală din proiect </w:t>
      </w:r>
      <w:r w:rsidR="00934A5D" w:rsidRPr="009010D7">
        <w:rPr>
          <w:rFonts w:ascii="Calibri" w:eastAsia="Arial" w:hAnsi="Calibri" w:cs="Calibri"/>
          <w:color w:val="auto"/>
          <w:sz w:val="20"/>
          <w:szCs w:val="20"/>
        </w:rPr>
        <w:t xml:space="preserve">sunt </w:t>
      </w:r>
      <w:r w:rsidR="00AB57AA" w:rsidRPr="009010D7">
        <w:rPr>
          <w:rFonts w:ascii="Calibri" w:eastAsia="Arial" w:hAnsi="Calibri" w:cs="Calibri"/>
          <w:color w:val="auto"/>
          <w:sz w:val="20"/>
          <w:szCs w:val="20"/>
        </w:rPr>
        <w:t xml:space="preserve"> în proprietatea </w:t>
      </w:r>
      <w:r w:rsidR="00B00ABE">
        <w:rPr>
          <w:rFonts w:ascii="Calibri" w:eastAsia="Arial" w:hAnsi="Calibri" w:cs="Calibri"/>
          <w:color w:val="auto"/>
          <w:sz w:val="20"/>
          <w:szCs w:val="20"/>
        </w:rPr>
        <w:t>gospodăriei</w:t>
      </w:r>
      <w:r w:rsidR="00AB57AA" w:rsidRPr="009010D7">
        <w:rPr>
          <w:rFonts w:ascii="Calibri" w:eastAsia="Arial" w:hAnsi="Calibri" w:cs="Calibri"/>
          <w:color w:val="auto"/>
          <w:sz w:val="20"/>
          <w:szCs w:val="20"/>
        </w:rPr>
        <w:t>.</w:t>
      </w:r>
      <w:r w:rsidR="00AB57AA">
        <w:rPr>
          <w:rFonts w:ascii="Calibri" w:eastAsia="Arial" w:hAnsi="Calibri" w:cs="Calibri"/>
          <w:color w:val="auto"/>
          <w:sz w:val="20"/>
          <w:szCs w:val="20"/>
        </w:rPr>
        <w:t xml:space="preserve"> </w:t>
      </w:r>
    </w:p>
    <w:p w14:paraId="7A53A579" w14:textId="77777777" w:rsidR="00914C6E" w:rsidRDefault="00914C6E" w:rsidP="009A41E9">
      <w:pPr>
        <w:pStyle w:val="Default"/>
        <w:spacing w:before="60"/>
        <w:ind w:left="360"/>
        <w:jc w:val="both"/>
        <w:rPr>
          <w:rFonts w:ascii="Calibri" w:eastAsia="Arial" w:hAnsi="Calibri" w:cs="Calibri"/>
          <w:color w:val="auto"/>
          <w:sz w:val="20"/>
          <w:szCs w:val="20"/>
        </w:rPr>
      </w:pPr>
    </w:p>
    <w:p w14:paraId="7BFFFCCF" w14:textId="77777777" w:rsidR="00914C6E" w:rsidRDefault="00914C6E" w:rsidP="009A41E9">
      <w:pPr>
        <w:pStyle w:val="Default"/>
        <w:spacing w:before="60"/>
        <w:ind w:left="360"/>
        <w:jc w:val="both"/>
        <w:rPr>
          <w:rFonts w:ascii="Calibri" w:eastAsia="Arial" w:hAnsi="Calibri" w:cs="Calibri"/>
          <w:color w:val="auto"/>
          <w:sz w:val="20"/>
          <w:szCs w:val="20"/>
        </w:rPr>
      </w:pP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BF50ED" w:rsidRDefault="00211BC2" w:rsidP="00CE015A">
      <w:pPr>
        <w:numPr>
          <w:ilvl w:val="0"/>
          <w:numId w:val="61"/>
        </w:numPr>
        <w:spacing w:after="40"/>
        <w:jc w:val="both"/>
        <w:rPr>
          <w:rFonts w:ascii="Calibri" w:hAnsi="Calibri" w:cs="Calibri"/>
          <w:iCs/>
          <w:noProof/>
          <w:lang w:val="it-IT" w:eastAsia="sk-SK"/>
        </w:rPr>
      </w:pPr>
      <w:r w:rsidRPr="00BF50ED">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50B1DC6D"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bookmarkStart w:id="1" w:name="_Hlk207808057"/>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 xml:space="preserve">implementarea în parteneriat a proiectelor </w:t>
      </w:r>
      <w:bookmarkEnd w:id="1"/>
      <w:r w:rsidRPr="00047930">
        <w:rPr>
          <w:rFonts w:ascii="Calibri" w:hAnsi="Calibri" w:cs="Calibri"/>
          <w:b/>
          <w:iCs/>
          <w:noProof/>
          <w:lang w:val="it-IT" w:eastAsia="sk-SK"/>
        </w:rPr>
        <w:t>(dacă este cazul)</w:t>
      </w:r>
    </w:p>
    <w:p w14:paraId="799EFC83" w14:textId="72F5474A" w:rsidR="003B4A4D" w:rsidRPr="00047930" w:rsidRDefault="003B4A4D" w:rsidP="00CE015A">
      <w:pPr>
        <w:pStyle w:val="ListParagraph"/>
        <w:numPr>
          <w:ilvl w:val="0"/>
          <w:numId w:val="62"/>
        </w:numPr>
        <w:ind w:left="478"/>
        <w:jc w:val="both"/>
        <w:rPr>
          <w:rFonts w:ascii="Calibri" w:eastAsia="Arial" w:hAnsi="Calibri" w:cs="Calibri"/>
          <w:lang w:val="ro-RO"/>
        </w:rPr>
      </w:pPr>
      <w:bookmarkStart w:id="2" w:name="_Hlk207808071"/>
      <w:r w:rsidRPr="00047930">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lastRenderedPageBreak/>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Cheltuielile sunt considerate eligibile dacă sunt efectuate de către liderul parteneriatului sau partener/i.</w:t>
      </w:r>
    </w:p>
    <w:p w14:paraId="3D788EE0" w14:textId="5B1CD552"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w:t>
      </w:r>
      <w:r w:rsidR="00F40D22">
        <w:rPr>
          <w:rFonts w:ascii="Calibri" w:eastAsia="Arial" w:hAnsi="Calibri" w:cs="Calibri"/>
          <w:lang w:val="ro-RO"/>
        </w:rPr>
        <w:t xml:space="preserve"> (anexa 13 la ghidul solicitantului).</w:t>
      </w:r>
      <w:r w:rsidRPr="00047930">
        <w:rPr>
          <w:rFonts w:ascii="Calibri" w:eastAsia="Arial" w:hAnsi="Calibri" w:cs="Calibri"/>
          <w:lang w:val="ro-RO"/>
        </w:rPr>
        <w:t xml:space="preserve"> </w:t>
      </w:r>
    </w:p>
    <w:bookmarkEnd w:id="2"/>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lastRenderedPageBreak/>
        <w:t xml:space="preserve">Prin excepţie de la prevederile art 10 alin. (1) </w:t>
      </w:r>
      <w:bookmarkStart w:id="3" w:name="_Hlk141443651"/>
      <w:r w:rsidRPr="00047930">
        <w:rPr>
          <w:rFonts w:ascii="Calibri" w:eastAsia="Arial" w:hAnsi="Calibri" w:cs="Calibri"/>
          <w:lang w:val="ro-RO"/>
        </w:rPr>
        <w:t>din Condițiile generale din Contractul de finanţare</w:t>
      </w:r>
      <w:bookmarkEnd w:id="3"/>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termen de 5 (cinci) zile 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Comisioanele bancare ocazionate de rambursarea sumelor datorate AM cad în sarcina exclusivă a Beneficiarului. </w:t>
      </w:r>
    </w:p>
    <w:p w14:paraId="30ABDFBA" w14:textId="77777777" w:rsidR="006F61B7" w:rsidRDefault="006F61B7" w:rsidP="006F61B7">
      <w:pPr>
        <w:jc w:val="both"/>
        <w:rPr>
          <w:rFonts w:ascii="Calibri" w:eastAsia="Arial" w:hAnsi="Calibri" w:cs="Calibri"/>
          <w:lang w:val="ro-RO"/>
        </w:rPr>
      </w:pPr>
    </w:p>
    <w:p w14:paraId="3B576420" w14:textId="1D107E0A" w:rsidR="006F61B7" w:rsidRDefault="006F61B7" w:rsidP="006F61B7">
      <w:pPr>
        <w:jc w:val="both"/>
        <w:rPr>
          <w:rFonts w:ascii="Calibri" w:hAnsi="Calibri" w:cs="Calibri"/>
          <w:b/>
          <w:iCs/>
          <w:noProof/>
          <w:lang w:val="it-IT" w:eastAsia="sk-SK"/>
        </w:rPr>
      </w:pPr>
      <w:r w:rsidRPr="006F61B7">
        <w:rPr>
          <w:rFonts w:ascii="Calibri" w:hAnsi="Calibri" w:cs="Calibri"/>
          <w:b/>
          <w:iCs/>
          <w:noProof/>
          <w:sz w:val="22"/>
          <w:szCs w:val="22"/>
          <w:lang w:val="it-IT" w:eastAsia="sk-SK"/>
        </w:rPr>
        <w:t>Articolul 8.1</w:t>
      </w:r>
      <w:r w:rsidRPr="006F61B7">
        <w:rPr>
          <w:rFonts w:ascii="Calibri" w:hAnsi="Calibri" w:cs="Calibri"/>
          <w:b/>
          <w:iCs/>
          <w:noProof/>
          <w:lang w:val="it-IT" w:eastAsia="sk-SK"/>
        </w:rPr>
        <w:t xml:space="preserve"> Completarea art. 25 din Contractul de finanțare - Clauze rezolutorii și suspensive</w:t>
      </w:r>
    </w:p>
    <w:p w14:paraId="248D605C" w14:textId="77777777" w:rsidR="006F61B7" w:rsidRDefault="006F61B7" w:rsidP="006F61B7">
      <w:pPr>
        <w:jc w:val="both"/>
        <w:rPr>
          <w:rFonts w:ascii="Calibri" w:eastAsia="Arial" w:hAnsi="Calibri" w:cs="Calibri"/>
          <w:lang w:val="ro-RO"/>
        </w:rPr>
      </w:pPr>
    </w:p>
    <w:p w14:paraId="418A9A51" w14:textId="5A80421B" w:rsidR="006F61B7" w:rsidRDefault="006F61B7" w:rsidP="006F61B7">
      <w:pPr>
        <w:jc w:val="both"/>
        <w:rPr>
          <w:rFonts w:ascii="Calibri" w:eastAsia="Arial" w:hAnsi="Calibri" w:cs="Calibri"/>
          <w:lang w:val="ro-RO"/>
        </w:rPr>
      </w:pPr>
      <w:r>
        <w:rPr>
          <w:rFonts w:ascii="Calibri" w:eastAsia="Arial" w:hAnsi="Calibri" w:cs="Calibri"/>
          <w:lang w:val="ro-RO"/>
        </w:rPr>
        <w:t>Î</w:t>
      </w:r>
      <w:r w:rsidRPr="006F61B7">
        <w:rPr>
          <w:rFonts w:ascii="Calibri" w:eastAsia="Arial" w:hAnsi="Calibri" w:cs="Calibri"/>
          <w:lang w:val="ro-RO"/>
        </w:rPr>
        <w:t>n cazul proiectelor care implică lucrări pentru care este necesară emiterea autorizației de construire conform Legii nr. 50/1991, republicată, cu modificările și completările ulterioare, autorizația de construire în termen de valabilitate se va transmite AM/OI în cel mult 9 luni de la intrarea în vigoare a prezentului contract. În caz contrar contractul de finanțare poate fi reziliat și finanțarea nerambursabilă acordată va fi recuperată.</w:t>
      </w:r>
    </w:p>
    <w:p w14:paraId="5C2B70AA" w14:textId="77777777" w:rsidR="006F61B7" w:rsidRPr="006F61B7" w:rsidRDefault="006F61B7" w:rsidP="006F61B7">
      <w:pPr>
        <w:jc w:val="both"/>
        <w:rPr>
          <w:rFonts w:ascii="Calibri" w:eastAsia="Arial" w:hAnsi="Calibri" w:cs="Calibri"/>
          <w:lang w:val="ro-RO"/>
        </w:rPr>
      </w:pP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BF50ED" w:rsidRDefault="00211BC2" w:rsidP="00CE015A">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 xml:space="preserve">(dacă este cazul) Orice modificare a componenţei parteneriatului cu încălcarea prevederilor art. </w:t>
      </w:r>
      <w:r w:rsidR="00724016" w:rsidRPr="00BF50ED">
        <w:rPr>
          <w:rFonts w:ascii="Calibri" w:eastAsia="Arial" w:hAnsi="Calibri" w:cs="Calibri"/>
          <w:lang w:val="ro-RO"/>
        </w:rPr>
        <w:t>7</w:t>
      </w:r>
      <w:r w:rsidRPr="00BF50ED">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lastRenderedPageBreak/>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7EF1DB8" w14:textId="77777777" w:rsidR="008F2C64" w:rsidRPr="00BF50ED" w:rsidRDefault="008F2C64" w:rsidP="00BF50ED">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Din ziua următoare expirării termenului prevăzut la art. 7 alin. (22) din cadrul Condițiilor generale se vor calcula dobânzi de întârziere în valoare de 0,02% pe zi de întârziere din suma datorată, până la data plății efective.</w:t>
      </w:r>
    </w:p>
    <w:p w14:paraId="4D7FD4EE" w14:textId="77777777" w:rsidR="008F2C64" w:rsidRPr="00047930" w:rsidRDefault="008F2C64" w:rsidP="00BF50ED">
      <w:pPr>
        <w:pStyle w:val="ListParagraph"/>
        <w:ind w:left="478"/>
        <w:jc w:val="both"/>
        <w:rPr>
          <w:rFonts w:ascii="Calibri" w:eastAsia="Arial" w:hAnsi="Calibri" w:cs="Calibri"/>
          <w:lang w:val="ro-RO"/>
        </w:rPr>
      </w:pP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supracontractarea proiectelor (acolo unde este cazul)</w:t>
      </w:r>
    </w:p>
    <w:p w14:paraId="49F2718F" w14:textId="63E3E1CE" w:rsidR="00CD2833" w:rsidRPr="00BF50ED" w:rsidRDefault="00CD2833"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BF50ED" w:rsidRDefault="00211BC2"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385FF90" w14:textId="658DD3C3" w:rsidR="008F2C64" w:rsidRPr="00BF50ED" w:rsidRDefault="00BF50ED" w:rsidP="00BF50ED">
      <w:pPr>
        <w:jc w:val="both"/>
        <w:rPr>
          <w:rFonts w:ascii="Calibri" w:eastAsia="Arial" w:hAnsi="Calibri" w:cs="Calibri"/>
          <w:lang w:val="ro-RO"/>
        </w:rPr>
      </w:pPr>
      <w:r>
        <w:rPr>
          <w:rFonts w:ascii="Calibri" w:eastAsia="Arial" w:hAnsi="Calibri" w:cs="Calibri"/>
          <w:lang w:val="ro-RO"/>
        </w:rPr>
        <w:t xml:space="preserve">(1) </w:t>
      </w:r>
      <w:r w:rsidR="008F2C64" w:rsidRPr="00BF50ED">
        <w:rPr>
          <w:rFonts w:ascii="Calibri" w:eastAsia="Arial" w:hAnsi="Calibri" w:cs="Calibri"/>
          <w:lang w:val="ro-RO"/>
        </w:rPr>
        <w:t>În cadrul prezentului Contract, prevalează Condițiile Specifice aplicabile apelului de proiecte din cadrul PTJ față de cele Generale, precum și față de cele specifice Programului  Tranziție Justă.</w:t>
      </w:r>
    </w:p>
    <w:p w14:paraId="40C7E318" w14:textId="5F921363" w:rsidR="008F2C64" w:rsidRPr="00BF50ED" w:rsidRDefault="008F2C64" w:rsidP="00BF50ED">
      <w:pPr>
        <w:jc w:val="both"/>
        <w:rPr>
          <w:rFonts w:ascii="Calibri" w:eastAsia="Arial" w:hAnsi="Calibri" w:cs="Calibri"/>
          <w:lang w:val="ro-RO"/>
        </w:rPr>
      </w:pPr>
      <w:r w:rsidRPr="00BF50ED">
        <w:rPr>
          <w:rFonts w:ascii="Calibri" w:eastAsia="Arial" w:hAnsi="Calibri" w:cs="Calibri"/>
          <w:lang w:val="ro-RO"/>
        </w:rPr>
        <w:t>(2) În cadrul prezentului Contract, Condițiile Specifice aplicabile aplelului de proiecte din cadrul PTJ  se completează, acolo unde este cazul, cu condițiile specifice Programului Tranziție Justă și respectiv cu Condițiile Generale, din prezentul contract.</w:t>
      </w:r>
    </w:p>
    <w:p w14:paraId="2E5CC108" w14:textId="77777777" w:rsidR="008B6001" w:rsidRDefault="008B6001" w:rsidP="00CE015A">
      <w:pPr>
        <w:tabs>
          <w:tab w:val="left" w:pos="450"/>
        </w:tabs>
        <w:ind w:right="75"/>
        <w:jc w:val="both"/>
        <w:rPr>
          <w:rFonts w:ascii="Calibri" w:eastAsia="Arial" w:hAnsi="Calibri" w:cs="Calibri"/>
          <w:b/>
          <w:spacing w:val="1"/>
          <w:lang w:val="it-IT"/>
        </w:rPr>
      </w:pPr>
    </w:p>
    <w:p w14:paraId="52A78FAE" w14:textId="77777777" w:rsidR="00776C00" w:rsidRDefault="00776C00" w:rsidP="00CE015A">
      <w:pPr>
        <w:tabs>
          <w:tab w:val="left" w:pos="450"/>
        </w:tabs>
        <w:ind w:right="75"/>
        <w:jc w:val="both"/>
        <w:rPr>
          <w:rFonts w:ascii="Calibri" w:eastAsia="Arial" w:hAnsi="Calibri" w:cs="Calibri"/>
          <w:b/>
          <w:spacing w:val="1"/>
          <w:lang w:val="it-IT"/>
        </w:rPr>
      </w:pPr>
    </w:p>
    <w:p w14:paraId="10E75784" w14:textId="29D7B0D4" w:rsidR="008635C2" w:rsidRDefault="008635C2" w:rsidP="00CE015A">
      <w:pPr>
        <w:tabs>
          <w:tab w:val="left" w:pos="450"/>
        </w:tabs>
        <w:ind w:right="75"/>
        <w:jc w:val="both"/>
        <w:rPr>
          <w:rFonts w:ascii="Calibri" w:eastAsia="Arial" w:hAnsi="Calibri" w:cs="Calibri"/>
          <w:b/>
          <w:spacing w:val="1"/>
          <w:lang w:val="it-IT"/>
        </w:rPr>
      </w:pPr>
      <w:r w:rsidRPr="008635C2">
        <w:rPr>
          <w:rFonts w:ascii="Calibri" w:eastAsia="Arial" w:hAnsi="Calibri" w:cs="Calibri"/>
          <w:b/>
          <w:spacing w:val="1"/>
          <w:lang w:val="it-IT"/>
        </w:rPr>
        <w:t>Secțiunea II - Condi</w:t>
      </w:r>
      <w:r w:rsidR="001116F7">
        <w:rPr>
          <w:rFonts w:ascii="Calibri" w:eastAsia="Arial" w:hAnsi="Calibri" w:cs="Calibri"/>
          <w:b/>
          <w:spacing w:val="1"/>
          <w:lang w:val="it-IT"/>
        </w:rPr>
        <w:t>ț</w:t>
      </w:r>
      <w:r w:rsidRPr="008635C2">
        <w:rPr>
          <w:rFonts w:ascii="Calibri" w:eastAsia="Arial" w:hAnsi="Calibri" w:cs="Calibri"/>
          <w:b/>
          <w:spacing w:val="1"/>
          <w:lang w:val="it-IT"/>
        </w:rPr>
        <w:t xml:space="preserve">ii specifice </w:t>
      </w:r>
      <w:r w:rsidR="001116F7">
        <w:rPr>
          <w:rFonts w:ascii="Calibri" w:eastAsia="Arial" w:hAnsi="Calibri" w:cs="Calibri"/>
          <w:b/>
          <w:spacing w:val="1"/>
          <w:lang w:val="it-IT"/>
        </w:rPr>
        <w:t xml:space="preserve">suplimentare aplicabile Beneficiarului și investiției </w:t>
      </w:r>
      <w:r w:rsidRPr="008635C2">
        <w:rPr>
          <w:rFonts w:ascii="Calibri" w:eastAsia="Arial" w:hAnsi="Calibri" w:cs="Calibri"/>
          <w:b/>
          <w:spacing w:val="1"/>
          <w:lang w:val="it-IT"/>
        </w:rPr>
        <w:t xml:space="preserve"> </w:t>
      </w:r>
    </w:p>
    <w:p w14:paraId="40BCDAA3" w14:textId="77777777" w:rsidR="008635C2" w:rsidRDefault="008635C2" w:rsidP="00CE015A">
      <w:pPr>
        <w:tabs>
          <w:tab w:val="left" w:pos="450"/>
        </w:tabs>
        <w:ind w:right="75"/>
        <w:jc w:val="both"/>
        <w:rPr>
          <w:rFonts w:ascii="Calibri" w:eastAsia="Arial" w:hAnsi="Calibri" w:cs="Calibri"/>
          <w:b/>
          <w:spacing w:val="1"/>
          <w:lang w:val="it-IT"/>
        </w:rPr>
      </w:pPr>
    </w:p>
    <w:p w14:paraId="407BA759" w14:textId="62F87DB2" w:rsidR="008635C2" w:rsidRPr="00776C00" w:rsidRDefault="008635C2"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 xml:space="preserve"> Alte obligații specifice Beneficiarului</w:t>
      </w:r>
    </w:p>
    <w:p w14:paraId="6E9480EE" w14:textId="77777777" w:rsidR="008635C2" w:rsidRPr="00047930" w:rsidRDefault="008635C2" w:rsidP="00CE015A">
      <w:pPr>
        <w:tabs>
          <w:tab w:val="left" w:pos="450"/>
        </w:tabs>
        <w:ind w:right="75"/>
        <w:jc w:val="both"/>
        <w:rPr>
          <w:rFonts w:ascii="Calibri" w:eastAsia="Arial" w:hAnsi="Calibri" w:cs="Calibri"/>
          <w:b/>
          <w:spacing w:val="1"/>
          <w:lang w:val="it-IT"/>
        </w:rPr>
      </w:pPr>
    </w:p>
    <w:p w14:paraId="04A42104" w14:textId="67BDF20B"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Perioada de implementare a activităților poate fi extinsă</w:t>
      </w:r>
      <w:r w:rsidR="00AC5DAB" w:rsidRPr="00776C00">
        <w:rPr>
          <w:rFonts w:ascii="Calibri" w:eastAsia="Arial" w:hAnsi="Calibri" w:cs="Calibri"/>
          <w:lang w:val="ro-RO"/>
        </w:rPr>
        <w:t xml:space="preserve"> cu maxim </w:t>
      </w:r>
      <w:r w:rsidR="00C40E15" w:rsidRPr="00776C00">
        <w:rPr>
          <w:rFonts w:ascii="Calibri" w:eastAsia="Arial" w:hAnsi="Calibri" w:cs="Calibri"/>
          <w:lang w:val="ro-RO"/>
        </w:rPr>
        <w:t>12</w:t>
      </w:r>
      <w:r w:rsidR="00AC5DAB" w:rsidRPr="00776C00">
        <w:rPr>
          <w:rFonts w:ascii="Calibri" w:eastAsia="Arial" w:hAnsi="Calibri" w:cs="Calibri"/>
          <w:lang w:val="ro-RO"/>
        </w:rPr>
        <w:t xml:space="preserve"> luni</w:t>
      </w:r>
      <w:r w:rsidRPr="00776C00">
        <w:rPr>
          <w:rFonts w:ascii="Calibri" w:eastAsia="Arial" w:hAnsi="Calibri" w:cs="Calibri"/>
          <w:lang w:val="ro-RO"/>
        </w:rPr>
        <w:t>, în conformitate cu Condițiile generale și specifice, dar nu mai târziu de 31 decembrie 2029.</w:t>
      </w:r>
    </w:p>
    <w:p w14:paraId="27934AD4" w14:textId="3E192175"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1F29B5D6" w:rsidR="00561E01" w:rsidRPr="00776C00" w:rsidRDefault="00561E01"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lastRenderedPageBreak/>
        <w:t>Se realizeaza exclusiv in cadrul zonei vizate de program si/sau doar in zonele defavorizate acolo unde proiectul a primit punctaj suplimentar</w:t>
      </w:r>
      <w:r w:rsidR="00BA0413" w:rsidRPr="00776C00">
        <w:rPr>
          <w:rFonts w:ascii="Calibri" w:eastAsia="Arial" w:hAnsi="Calibri" w:cs="Calibri"/>
          <w:lang w:val="ro-RO"/>
        </w:rPr>
        <w:t>;</w:t>
      </w:r>
    </w:p>
    <w:p w14:paraId="58AA7F94" w14:textId="32281CEC"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schimbarea spaţiului nu este de natură să afecteze îndeplinirea indicatorilor stabiliţi prin cererea de finanţare pentru măsurarea atingerii rezultatelor şi obiectivelor proiectului;</w:t>
      </w:r>
    </w:p>
    <w:p w14:paraId="1FED456E" w14:textId="3006E915"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 xml:space="preserve">actul prin care se dovedeşte dreptul de folosinţă asupra noului spațiu destinat implementării este valabil pe o perioada de minimum </w:t>
      </w:r>
      <w:r w:rsidR="00B028AA" w:rsidRPr="00776C00">
        <w:rPr>
          <w:rFonts w:ascii="Calibri" w:eastAsia="Arial" w:hAnsi="Calibri" w:cs="Calibri"/>
          <w:lang w:val="ro-RO"/>
        </w:rPr>
        <w:t>5</w:t>
      </w:r>
      <w:r w:rsidRPr="00776C00">
        <w:rPr>
          <w:rFonts w:ascii="Calibri" w:eastAsia="Arial" w:hAnsi="Calibri" w:cs="Calibri"/>
          <w:lang w:val="ro-RO"/>
        </w:rPr>
        <w:t xml:space="preserve"> ani</w:t>
      </w:r>
      <w:r w:rsidR="00B028AA" w:rsidRPr="00776C00">
        <w:rPr>
          <w:rFonts w:ascii="Calibri" w:eastAsia="Arial" w:hAnsi="Calibri" w:cs="Calibri"/>
          <w:lang w:val="ro-RO"/>
        </w:rPr>
        <w:t>, după caz,</w:t>
      </w:r>
      <w:r w:rsidRPr="00776C00">
        <w:rPr>
          <w:rFonts w:ascii="Calibri" w:eastAsia="Arial" w:hAnsi="Calibri" w:cs="Calibri"/>
          <w:lang w:val="ro-RO"/>
        </w:rPr>
        <w:t xml:space="preserve"> de la data estimată pentru efectuarea plății finale în cadrul proiectului, sau fracţiunea rămasă din această perioadă, în funcţie de momentul la care intervine schimbarea locului de implementare.</w:t>
      </w:r>
    </w:p>
    <w:p w14:paraId="0744903D" w14:textId="1E3189D1" w:rsidR="00F64D3E" w:rsidRPr="00776C00" w:rsidRDefault="006C3A9E"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În completarea art.</w:t>
      </w:r>
      <w:r w:rsidR="00D57EC3" w:rsidRPr="00776C00">
        <w:rPr>
          <w:rFonts w:ascii="Calibri" w:eastAsia="Arial" w:hAnsi="Calibri" w:cs="Calibri"/>
          <w:lang w:val="ro-RO"/>
        </w:rPr>
        <w:t>9</w:t>
      </w:r>
      <w:r w:rsidRPr="00776C00">
        <w:rPr>
          <w:rFonts w:ascii="Calibri" w:eastAsia="Arial" w:hAnsi="Calibri" w:cs="Calibri"/>
          <w:lang w:val="ro-RO"/>
        </w:rPr>
        <w:t>, alin. (</w:t>
      </w:r>
      <w:r w:rsidR="00AC5DAB" w:rsidRPr="00776C00">
        <w:rPr>
          <w:rFonts w:ascii="Calibri" w:eastAsia="Arial" w:hAnsi="Calibri" w:cs="Calibri"/>
          <w:lang w:val="ro-RO"/>
        </w:rPr>
        <w:t>14</w:t>
      </w:r>
      <w:r w:rsidRPr="00776C00">
        <w:rPr>
          <w:rFonts w:ascii="Calibri" w:eastAsia="Arial" w:hAnsi="Calibri" w:cs="Calibri"/>
          <w:lang w:val="ro-RO"/>
        </w:rPr>
        <w:t>) din Condiții Specifice</w:t>
      </w:r>
      <w:r w:rsidR="00091874" w:rsidRPr="00776C00">
        <w:rPr>
          <w:rFonts w:ascii="Calibri" w:eastAsia="Arial" w:hAnsi="Calibri" w:cs="Calibri"/>
          <w:lang w:val="ro-RO"/>
        </w:rPr>
        <w:t>, Secțiunea I,</w:t>
      </w:r>
      <w:r w:rsidRPr="00776C00">
        <w:rPr>
          <w:rFonts w:ascii="Calibri" w:eastAsia="Arial" w:hAnsi="Calibri" w:cs="Calibri"/>
          <w:lang w:val="ro-RO"/>
        </w:rPr>
        <w:t xml:space="preserve"> </w:t>
      </w:r>
      <w:r w:rsidR="00817456" w:rsidRPr="00776C00">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4D96534" w14:textId="20314854"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30C342A" w14:textId="0F17B2AA"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Ulterior semnării contractului de finanțare pentru proiectele de investiții pentru care este necesară obținerea autorizației de construire, aflate în perioada de implementare, respective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2639F28C" w14:textId="3D0AAAC0"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81A9CAF" w14:textId="1E484BA8"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1D976AB8" w14:textId="77777777" w:rsidR="00924167" w:rsidRPr="00047930" w:rsidRDefault="00924167" w:rsidP="00BF50ED">
      <w:pPr>
        <w:pStyle w:val="ListParagraph"/>
        <w:ind w:left="478"/>
        <w:jc w:val="both"/>
        <w:rPr>
          <w:rFonts w:ascii="Calibri" w:eastAsia="Arial" w:hAnsi="Calibri" w:cs="Calibri"/>
          <w:lang w:val="ro-RO"/>
        </w:rPr>
      </w:pPr>
    </w:p>
    <w:p w14:paraId="47972AF6" w14:textId="379B8599" w:rsidR="00817456" w:rsidRPr="00776C00" w:rsidRDefault="00817456"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 xml:space="preserve">Alte obligații specifice ale </w:t>
      </w:r>
      <w:r w:rsidR="00042A22">
        <w:rPr>
          <w:rFonts w:ascii="Calibri" w:hAnsi="Calibri" w:cs="Calibri"/>
          <w:b/>
          <w:iCs/>
          <w:noProof/>
          <w:lang w:val="it-IT" w:eastAsia="sk-SK"/>
        </w:rPr>
        <w:t>B</w:t>
      </w:r>
      <w:r w:rsidRPr="00776C00">
        <w:rPr>
          <w:rFonts w:ascii="Calibri" w:hAnsi="Calibri" w:cs="Calibri"/>
          <w:b/>
          <w:iCs/>
          <w:noProof/>
          <w:lang w:val="it-IT" w:eastAsia="sk-SK"/>
        </w:rPr>
        <w:t>eneficiarului privind menținerea condițiilor de eligibilitate pe perioada de durabilitate a investiției</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0FE608BC"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47930" w:rsidRDefault="00561E01"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Mentinerea investi</w:t>
      </w:r>
      <w:r w:rsidR="004C5797" w:rsidRPr="00047930">
        <w:rPr>
          <w:rFonts w:ascii="Calibri" w:eastAsia="Arial" w:hAnsi="Calibri" w:cs="Calibri"/>
          <w:lang w:val="ro-RO"/>
        </w:rPr>
        <w:t>ți</w:t>
      </w:r>
      <w:r w:rsidRPr="00047930">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4FB435F9" w14:textId="4958FE1B" w:rsidR="00013D97" w:rsidRDefault="00924167" w:rsidP="00776C00">
      <w:pPr>
        <w:ind w:left="360" w:hanging="270"/>
        <w:jc w:val="both"/>
        <w:rPr>
          <w:rFonts w:ascii="Calibri" w:hAnsi="Calibri" w:cs="Calibri"/>
          <w:lang w:val="it-IT"/>
        </w:rPr>
      </w:pPr>
      <w:r w:rsidRPr="00924167">
        <w:rPr>
          <w:rFonts w:ascii="Calibri" w:hAnsi="Calibri" w:cs="Calibri"/>
          <w:lang w:val="ro-RO"/>
        </w:rPr>
        <w:t>(2) 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280151E2" w14:textId="77777777" w:rsidR="00047930" w:rsidRPr="00047930" w:rsidRDefault="00047930" w:rsidP="00CE015A">
      <w:pPr>
        <w:ind w:left="502"/>
        <w:jc w:val="both"/>
        <w:rPr>
          <w:rFonts w:ascii="Calibri" w:hAnsi="Calibri" w:cs="Calibri"/>
          <w:lang w:val="it-IT"/>
        </w:rPr>
      </w:pPr>
    </w:p>
    <w:p w14:paraId="4D45836E" w14:textId="202817BF" w:rsidR="00013D97" w:rsidRPr="00776C00" w:rsidRDefault="00013D9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lastRenderedPageBreak/>
        <w:t>Regulile mecanismului de recuperare pentru neindeplinire indicatori</w:t>
      </w:r>
      <w:r w:rsidR="00032CD2" w:rsidRPr="00776C00">
        <w:rPr>
          <w:rFonts w:ascii="Calibri" w:hAnsi="Calibri" w:cs="Calibri"/>
          <w:b/>
          <w:iCs/>
          <w:noProof/>
          <w:lang w:val="it-IT" w:eastAsia="sk-SK"/>
        </w:rPr>
        <w:t xml:space="preserve"> de rezultat </w:t>
      </w:r>
    </w:p>
    <w:p w14:paraId="61729184" w14:textId="5440818F" w:rsidR="001E26F5" w:rsidRPr="00BF50ED" w:rsidRDefault="001E26F5" w:rsidP="00BF50ED">
      <w:pPr>
        <w:pStyle w:val="ListParagraph"/>
        <w:numPr>
          <w:ilvl w:val="1"/>
          <w:numId w:val="78"/>
        </w:numPr>
        <w:rPr>
          <w:rFonts w:ascii="Calibri" w:hAnsi="Calibri" w:cs="Calibri"/>
          <w:lang w:val="ro-RO"/>
        </w:rPr>
      </w:pPr>
      <w:r w:rsidRPr="001E26F5">
        <w:rPr>
          <w:rFonts w:ascii="Calibri" w:hAnsi="Calibri" w:cs="Calibri"/>
          <w:lang w:val="ro-RO"/>
        </w:rPr>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72134D8E" w14:textId="77777777" w:rsidR="001E26F5" w:rsidRPr="00BF50ED" w:rsidRDefault="001E26F5" w:rsidP="001E26F5">
      <w:pPr>
        <w:pStyle w:val="Head2-Alin"/>
        <w:tabs>
          <w:tab w:val="clear" w:pos="502"/>
          <w:tab w:val="right" w:pos="9000"/>
        </w:tabs>
        <w:spacing w:before="0" w:after="0"/>
        <w:ind w:firstLine="0"/>
        <w:rPr>
          <w:rFonts w:ascii="Calibri" w:hAnsi="Calibri" w:cs="Calibri"/>
          <w:szCs w:val="20"/>
        </w:rPr>
      </w:pPr>
    </w:p>
    <w:p w14:paraId="7ECFFB1C" w14:textId="43461152" w:rsidR="00013D97" w:rsidRPr="00BF50ED" w:rsidRDefault="00013D97" w:rsidP="00CE015A">
      <w:pPr>
        <w:pStyle w:val="Head2-Alin"/>
        <w:numPr>
          <w:ilvl w:val="1"/>
          <w:numId w:val="78"/>
        </w:numPr>
        <w:tabs>
          <w:tab w:val="right" w:pos="9000"/>
        </w:tabs>
        <w:spacing w:before="0" w:after="0"/>
        <w:rPr>
          <w:rFonts w:ascii="Calibri" w:hAnsi="Calibri" w:cs="Calibri"/>
          <w:szCs w:val="20"/>
        </w:rPr>
      </w:pPr>
      <w:r w:rsidRPr="00BF50ED">
        <w:rPr>
          <w:rFonts w:ascii="Calibri" w:hAnsi="Calibri" w:cs="Calibri"/>
          <w:szCs w:val="20"/>
        </w:rPr>
        <w:t xml:space="preserve">Neîndeplinirea țintelor asumate </w:t>
      </w:r>
      <w:r w:rsidR="00BD1102" w:rsidRPr="00BF50ED">
        <w:rPr>
          <w:rFonts w:ascii="Calibri" w:hAnsi="Calibri" w:cs="Calibri"/>
          <w:szCs w:val="20"/>
        </w:rPr>
        <w:t xml:space="preserve">prin </w:t>
      </w:r>
      <w:r w:rsidRPr="00BF50ED">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91A1732" w14:textId="49B728AF" w:rsidR="00367FEA" w:rsidRPr="00BF50ED" w:rsidRDefault="00367FEA" w:rsidP="00BF50ED">
      <w:pPr>
        <w:pStyle w:val="Head2-Alin"/>
        <w:tabs>
          <w:tab w:val="clear" w:pos="502"/>
          <w:tab w:val="right" w:pos="9000"/>
        </w:tabs>
        <w:spacing w:before="0" w:after="0"/>
        <w:ind w:left="142" w:firstLine="0"/>
        <w:rPr>
          <w:rFonts w:ascii="Calibri" w:hAnsi="Calibri" w:cs="Calibri"/>
          <w:szCs w:val="20"/>
        </w:rPr>
      </w:pPr>
    </w:p>
    <w:p w14:paraId="705AECDE" w14:textId="178F3320" w:rsidR="00584BAE" w:rsidRPr="00BF50ED" w:rsidRDefault="001E26F5" w:rsidP="00BF50ED">
      <w:pPr>
        <w:pStyle w:val="Head2-Alin"/>
        <w:tabs>
          <w:tab w:val="clear" w:pos="502"/>
          <w:tab w:val="right" w:pos="9000"/>
        </w:tabs>
        <w:spacing w:before="0" w:after="0"/>
        <w:ind w:hanging="322"/>
        <w:rPr>
          <w:rFonts w:ascii="Calibri" w:hAnsi="Calibri" w:cs="Calibri"/>
          <w:szCs w:val="20"/>
        </w:rPr>
      </w:pPr>
      <w:r w:rsidRPr="00BF50ED">
        <w:rPr>
          <w:rFonts w:ascii="Calibri" w:hAnsi="Calibri" w:cs="Calibri"/>
          <w:szCs w:val="20"/>
        </w:rPr>
        <w:t xml:space="preserve">(3) </w:t>
      </w:r>
      <w:r w:rsidR="00367FEA" w:rsidRPr="00BF50ED">
        <w:rPr>
          <w:rFonts w:ascii="Calibri" w:hAnsi="Calibri" w:cs="Calibri"/>
          <w:szCs w:val="20"/>
        </w:rPr>
        <w:t>Dacă implementarea proiectului nu conduce la</w:t>
      </w:r>
      <w:r w:rsidR="00041C26" w:rsidRPr="00BF50ED">
        <w:rPr>
          <w:rFonts w:ascii="Calibri" w:hAnsi="Calibri" w:cs="Calibri"/>
          <w:szCs w:val="20"/>
        </w:rPr>
        <w:t>creșterea capacității de pasageri a materialului rulant ecologic pentru transportul public</w:t>
      </w:r>
      <w:r w:rsidR="00041C26" w:rsidRPr="00BF50ED" w:rsidDel="00041C26">
        <w:rPr>
          <w:rFonts w:ascii="Calibri" w:hAnsi="Calibri" w:cs="Calibri"/>
          <w:szCs w:val="20"/>
        </w:rPr>
        <w:t xml:space="preserve"> </w:t>
      </w:r>
      <w:r w:rsidR="00041C26" w:rsidRPr="00BF50ED">
        <w:rPr>
          <w:rFonts w:ascii="Calibri" w:hAnsi="Calibri" w:cs="Calibri"/>
          <w:szCs w:val="20"/>
        </w:rPr>
        <w:t xml:space="preserve">și a numărului de puncte de realimentare/reîncărcare pentru vehicule curate </w:t>
      </w:r>
      <w:r w:rsidRPr="00BF50ED">
        <w:rPr>
          <w:rFonts w:ascii="Calibri" w:hAnsi="Calibri" w:cs="Calibri"/>
          <w:szCs w:val="20"/>
        </w:rPr>
        <w:t>, conform indicatorului de realizare angajat prin Cererea de finanțare,</w:t>
      </w:r>
      <w:r w:rsidR="00367FEA" w:rsidRPr="00BF50ED">
        <w:rPr>
          <w:rFonts w:ascii="Calibri" w:hAnsi="Calibri" w:cs="Calibri"/>
          <w:szCs w:val="20"/>
        </w:rPr>
        <w:t xml:space="preserve">, finanțarea nerambursabilă acordată se recuperează proportional </w:t>
      </w:r>
      <w:r w:rsidRPr="00BF50ED">
        <w:rPr>
          <w:rFonts w:ascii="Calibri" w:hAnsi="Calibri" w:cs="Calibri"/>
          <w:szCs w:val="20"/>
        </w:rPr>
        <w:t>cu progresul în realizarea indicatorilor din proiect (conform Raportului de progres)</w:t>
      </w:r>
      <w:r w:rsidR="00367FEA" w:rsidRPr="00BF50ED">
        <w:rPr>
          <w:rFonts w:ascii="Calibri" w:hAnsi="Calibri" w:cs="Calibri"/>
          <w:szCs w:val="20"/>
        </w:rPr>
        <w:t xml:space="preserve">. </w:t>
      </w:r>
    </w:p>
    <w:p w14:paraId="7E97DB86" w14:textId="1B60F7D9" w:rsidR="00032CD2" w:rsidRPr="00BF50ED" w:rsidRDefault="00032CD2" w:rsidP="00BF50ED">
      <w:pPr>
        <w:pStyle w:val="Head2-Alin"/>
        <w:tabs>
          <w:tab w:val="clear" w:pos="502"/>
          <w:tab w:val="right" w:pos="9000"/>
        </w:tabs>
        <w:spacing w:before="0" w:after="0"/>
        <w:rPr>
          <w:rFonts w:ascii="Calibri" w:hAnsi="Calibri" w:cs="Calibri"/>
          <w:szCs w:val="20"/>
        </w:rPr>
      </w:pPr>
    </w:p>
    <w:p w14:paraId="6D5D7952" w14:textId="4088B634" w:rsidR="00013D97" w:rsidRPr="00BF50ED" w:rsidRDefault="00BF50ED" w:rsidP="00BF50ED">
      <w:pPr>
        <w:pStyle w:val="Head2-Alin"/>
        <w:tabs>
          <w:tab w:val="clear" w:pos="502"/>
          <w:tab w:val="right" w:pos="9000"/>
        </w:tabs>
        <w:spacing w:before="0" w:after="0"/>
        <w:rPr>
          <w:rFonts w:ascii="Calibri" w:hAnsi="Calibri" w:cs="Calibri"/>
          <w:szCs w:val="20"/>
        </w:rPr>
      </w:pPr>
      <w:r>
        <w:rPr>
          <w:rFonts w:ascii="Calibri" w:hAnsi="Calibri" w:cs="Calibri"/>
          <w:szCs w:val="20"/>
        </w:rPr>
        <w:t xml:space="preserve">(4) </w:t>
      </w:r>
      <w:r w:rsidR="00032CD2" w:rsidRPr="00BF50ED">
        <w:rPr>
          <w:rFonts w:ascii="Calibri" w:hAnsi="Calibri" w:cs="Calibri"/>
          <w:szCs w:val="20"/>
        </w:rPr>
        <w:t>Neînde</w:t>
      </w:r>
      <w:r w:rsidR="00DA7101" w:rsidRPr="00BF50ED">
        <w:rPr>
          <w:rFonts w:ascii="Calibri" w:hAnsi="Calibri" w:cs="Calibri"/>
          <w:szCs w:val="20"/>
        </w:rPr>
        <w:t>p</w:t>
      </w:r>
      <w:r w:rsidR="00032CD2" w:rsidRPr="00BF50ED">
        <w:rPr>
          <w:rFonts w:ascii="Calibri" w:hAnsi="Calibri" w:cs="Calibri"/>
          <w:szCs w:val="20"/>
        </w:rPr>
        <w:t xml:space="preserve">linirea </w:t>
      </w:r>
      <w:r w:rsidR="001E26F5" w:rsidRPr="00BF50ED">
        <w:rPr>
          <w:rFonts w:ascii="Calibri" w:hAnsi="Calibri" w:cs="Calibri"/>
          <w:szCs w:val="20"/>
        </w:rPr>
        <w:t>indicatorilor</w:t>
      </w:r>
      <w:r w:rsidR="00032CD2" w:rsidRPr="00BF50ED">
        <w:rPr>
          <w:rFonts w:ascii="Calibri" w:hAnsi="Calibri" w:cs="Calibri"/>
          <w:szCs w:val="20"/>
        </w:rPr>
        <w:t xml:space="preserve"> pentru care beneficiarul s-a angajat prin cererea de finanțare și pentru </w:t>
      </w:r>
      <w:r w:rsidR="00DA7101" w:rsidRPr="00BF50ED">
        <w:rPr>
          <w:rFonts w:ascii="Calibri" w:hAnsi="Calibri" w:cs="Calibri"/>
          <w:szCs w:val="20"/>
        </w:rPr>
        <w:t xml:space="preserve">care </w:t>
      </w:r>
      <w:r w:rsidR="00032CD2" w:rsidRPr="00BF50ED">
        <w:rPr>
          <w:rFonts w:ascii="Calibri" w:hAnsi="Calibri" w:cs="Calibri"/>
          <w:szCs w:val="20"/>
        </w:rPr>
        <w:t>a obținut punctaje suplimentare în cadrul procesului de evaluare a proiectului conduce la recuperarea proporțională a finanțării nerambursabile acordate, prin aplicarea prevederilor de la ali</w:t>
      </w:r>
      <w:r w:rsidR="009B5FA1" w:rsidRPr="00BF50ED">
        <w:rPr>
          <w:rFonts w:ascii="Calibri" w:hAnsi="Calibri" w:cs="Calibri"/>
          <w:szCs w:val="20"/>
        </w:rPr>
        <w:t>n (</w:t>
      </w:r>
      <w:r w:rsidR="001E26F5" w:rsidRPr="00BF50ED">
        <w:rPr>
          <w:rFonts w:ascii="Calibri" w:hAnsi="Calibri" w:cs="Calibri"/>
          <w:szCs w:val="20"/>
        </w:rPr>
        <w:t>2</w:t>
      </w:r>
      <w:r w:rsidR="009B5FA1" w:rsidRPr="00BF50ED">
        <w:rPr>
          <w:rFonts w:ascii="Calibri" w:hAnsi="Calibri" w:cs="Calibri"/>
          <w:szCs w:val="20"/>
        </w:rPr>
        <w:t xml:space="preserve">) </w:t>
      </w:r>
      <w:r w:rsidR="001E26F5" w:rsidRPr="00BF50ED">
        <w:rPr>
          <w:rFonts w:ascii="Calibri" w:hAnsi="Calibri" w:cs="Calibri"/>
          <w:szCs w:val="20"/>
        </w:rPr>
        <w:t>și</w:t>
      </w:r>
      <w:r w:rsidR="00DA7101" w:rsidRPr="00BF50ED">
        <w:rPr>
          <w:rFonts w:ascii="Calibri" w:hAnsi="Calibri" w:cs="Calibri"/>
          <w:szCs w:val="20"/>
        </w:rPr>
        <w:t xml:space="preserve"> </w:t>
      </w:r>
      <w:r w:rsidR="009B5FA1" w:rsidRPr="00BF50ED">
        <w:rPr>
          <w:rFonts w:ascii="Calibri" w:hAnsi="Calibri" w:cs="Calibri"/>
          <w:szCs w:val="20"/>
        </w:rPr>
        <w:t>(</w:t>
      </w:r>
      <w:r w:rsidR="001E26F5" w:rsidRPr="00BF50ED">
        <w:rPr>
          <w:rFonts w:ascii="Calibri" w:hAnsi="Calibri" w:cs="Calibri"/>
          <w:szCs w:val="20"/>
        </w:rPr>
        <w:t>3</w:t>
      </w:r>
      <w:r w:rsidR="009B5FA1" w:rsidRPr="00BF50ED">
        <w:rPr>
          <w:rFonts w:ascii="Calibri" w:hAnsi="Calibri" w:cs="Calibri"/>
          <w:szCs w:val="20"/>
        </w:rPr>
        <w:t xml:space="preserve">) de mai sus. În situația în care proiectul nu mai obținea punctajul minim pentru a putea fi finanțat, proiectul este considerat ne-eligibil iar finanțarea nerambursabilă acordată este recuperată. </w:t>
      </w:r>
    </w:p>
    <w:p w14:paraId="4272E8AD" w14:textId="77777777" w:rsidR="00013D97" w:rsidRPr="00047930" w:rsidRDefault="00013D97" w:rsidP="00CE015A">
      <w:pPr>
        <w:jc w:val="both"/>
        <w:rPr>
          <w:rFonts w:ascii="Calibri" w:eastAsia="Arial" w:hAnsi="Calibri" w:cs="Calibri"/>
          <w:lang w:val="ro-RO"/>
        </w:rPr>
      </w:pP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0622AB10"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 xml:space="preserve">II - Acordarea și recuperarea prefinanțării, </w:t>
      </w:r>
      <w:r w:rsidR="001116F7">
        <w:rPr>
          <w:rFonts w:ascii="Calibri" w:eastAsia="Arial" w:hAnsi="Calibri" w:cs="Calibri"/>
          <w:b/>
          <w:spacing w:val="1"/>
          <w:lang w:val="ro-RO"/>
        </w:rPr>
        <w:t>c</w:t>
      </w:r>
      <w:r w:rsidR="00055660" w:rsidRPr="00047930">
        <w:rPr>
          <w:rFonts w:ascii="Calibri" w:eastAsia="Arial" w:hAnsi="Calibri" w:cs="Calibri"/>
          <w:b/>
          <w:spacing w:val="1"/>
          <w:lang w:val="ro-RO"/>
        </w:rPr>
        <w:t>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4F86A95F" w:rsidR="001A0037" w:rsidRPr="00776C00" w:rsidRDefault="001A003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Rambursarea / plata cheltuielilor</w:t>
      </w:r>
    </w:p>
    <w:p w14:paraId="4CCC5C03" w14:textId="77777777" w:rsidR="00776C00" w:rsidRDefault="00776C00" w:rsidP="00CE015A">
      <w:pPr>
        <w:spacing w:before="60"/>
        <w:ind w:right="265"/>
        <w:jc w:val="both"/>
        <w:rPr>
          <w:rFonts w:ascii="Calibri" w:eastAsia="Arial" w:hAnsi="Calibri" w:cs="Calibri"/>
          <w:lang w:val="ro-RO"/>
        </w:rPr>
      </w:pPr>
    </w:p>
    <w:p w14:paraId="3F88272A" w14:textId="5CC6AC49" w:rsidR="001A0037" w:rsidRPr="00047930" w:rsidRDefault="001A0037" w:rsidP="00CE015A">
      <w:pPr>
        <w:spacing w:before="60"/>
        <w:ind w:right="265"/>
        <w:jc w:val="both"/>
        <w:rPr>
          <w:rFonts w:ascii="Calibri" w:eastAsia="Arial" w:hAnsi="Calibri" w:cs="Calibri"/>
          <w:b/>
          <w:bCs/>
          <w:lang w:val="ro-RO"/>
        </w:rPr>
      </w:pPr>
      <w:r w:rsidRPr="00047930">
        <w:rPr>
          <w:rFonts w:ascii="Calibri" w:eastAsia="Arial" w:hAnsi="Calibri" w:cs="Calibri"/>
          <w:b/>
          <w:bCs/>
          <w:lang w:val="ro-RO"/>
        </w:rPr>
        <w:t>(a) Acordarea și recuperarea prefinanțării, dacă este cazul</w:t>
      </w:r>
    </w:p>
    <w:p w14:paraId="7BC72DFB" w14:textId="2424E6D3"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w:t>
      </w:r>
      <w:bookmarkStart w:id="4" w:name="_Hlk207808898"/>
      <w:r w:rsidRPr="00047930">
        <w:rPr>
          <w:rFonts w:ascii="Calibri" w:eastAsia="Arial" w:hAnsi="Calibri" w:cs="Calibri"/>
          <w:lang w:val="ro-RO"/>
        </w:rPr>
        <w:t>OUG nr. 133/2021</w:t>
      </w:r>
      <w:bookmarkEnd w:id="4"/>
      <w:r w:rsidRPr="00047930">
        <w:rPr>
          <w:rFonts w:ascii="Calibri" w:eastAsia="Arial" w:hAnsi="Calibri" w:cs="Calibri"/>
          <w:lang w:val="ro-RO"/>
        </w:rPr>
        <w:t xml:space="preserve">,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prefinanțare </w:t>
      </w:r>
      <w:r w:rsidR="000A4D81"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w:t>
      </w:r>
      <w:r w:rsidR="00A1743A" w:rsidRPr="00BF50ED">
        <w:rPr>
          <w:rFonts w:ascii="Calibri" w:eastAsia="Arial" w:hAnsi="Calibri" w:cs="Calibri"/>
          <w:lang w:val="ro-RO"/>
        </w:rPr>
        <w:t xml:space="preserve">maximum </w:t>
      </w:r>
      <w:r w:rsidR="008F2C64" w:rsidRPr="00BF50ED">
        <w:rPr>
          <w:rFonts w:ascii="Calibri" w:eastAsia="Arial" w:hAnsi="Calibri" w:cs="Calibri"/>
          <w:lang w:val="ro-RO"/>
        </w:rPr>
        <w:t>3</w:t>
      </w:r>
      <w:r w:rsidR="00A1743A" w:rsidRPr="00BF50ED">
        <w:rPr>
          <w:rFonts w:ascii="Calibri" w:eastAsia="Arial" w:hAnsi="Calibri" w:cs="Calibri"/>
          <w:lang w:val="ro-RO"/>
        </w:rPr>
        <w:t>0% din</w:t>
      </w:r>
      <w:r w:rsidR="00A1743A" w:rsidRPr="00047930">
        <w:rPr>
          <w:rFonts w:ascii="Calibri" w:eastAsia="Arial" w:hAnsi="Calibri" w:cs="Calibri"/>
          <w:lang w:val="ro-RO"/>
        </w:rPr>
        <w:t xml:space="preserve"> valoarea eligibilă a contractului de finanțare, fără depășirea valorii totale eligibile a acestuia. </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73C0ED7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(10) AM notifică beneficiarul/liderul  de parteneriat/partenerii</w:t>
      </w:r>
      <w:r w:rsidR="0032235D" w:rsidRPr="00047930">
        <w:rPr>
          <w:rFonts w:ascii="Calibri" w:eastAsia="Arial" w:hAnsi="Calibri" w:cs="Calibri"/>
          <w:lang w:val="ro-RO"/>
        </w:rPr>
        <w:t xml:space="preserve">, </w:t>
      </w:r>
      <w:r w:rsidR="004C5797" w:rsidRPr="00047930">
        <w:rPr>
          <w:rFonts w:ascii="Calibri" w:eastAsia="Arial" w:hAnsi="Calibri" w:cs="Calibri"/>
          <w:lang w:val="ro-RO"/>
        </w:rPr>
        <w:t>după caz</w:t>
      </w:r>
      <w:r w:rsidR="0032235D" w:rsidRPr="00047930">
        <w:rPr>
          <w:rFonts w:ascii="Calibri" w:eastAsia="Arial" w:hAnsi="Calibri" w:cs="Calibri"/>
          <w:lang w:val="ro-RO"/>
        </w:rPr>
        <w:t>,</w:t>
      </w:r>
      <w:r w:rsidRPr="00047930">
        <w:rPr>
          <w:rFonts w:ascii="Calibri" w:eastAsia="Arial" w:hAnsi="Calibri" w:cs="Calibri"/>
          <w:lang w:val="ro-RO"/>
        </w:rPr>
        <w:t xml:space="preserve">  cu privire la obligaţia restituirii sumelor prevăzute la alin. (8).</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(18) Recuperarea sumelor stabilite conform prevederilor alin. (10) prin executare silită, în temeiul titlului executoriu, se efectuează în conturile indicate de organele fiscale competente.  Sumele recuperate prin </w:t>
      </w:r>
      <w:r w:rsidRPr="00047930">
        <w:rPr>
          <w:rFonts w:ascii="Calibri" w:eastAsia="Arial" w:hAnsi="Calibri" w:cs="Calibri"/>
          <w:lang w:val="ro-RO"/>
        </w:rPr>
        <w:lastRenderedPageBreak/>
        <w:t>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0EC16B9C" w14:textId="77777777" w:rsidR="001116F7"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(27) </w:t>
      </w:r>
      <w:r w:rsidR="00531660" w:rsidRPr="00531660">
        <w:rPr>
          <w:rFonts w:ascii="Calibri" w:eastAsia="Arial" w:hAnsi="Calibri" w:cs="Calibri"/>
          <w:lang w:val="ro-RO"/>
        </w:rPr>
        <w:t>Prefinanţarea acordată și rămasă neutilizată la finele exerciţiului bugetar, se utilizează de către Beneficiar în anul următor cu aceeaşi destinaţie.</w:t>
      </w:r>
    </w:p>
    <w:p w14:paraId="4A098851" w14:textId="2A3D3204" w:rsidR="00C014A2" w:rsidRPr="00047930" w:rsidRDefault="00C014A2" w:rsidP="00CE015A">
      <w:pPr>
        <w:spacing w:before="60"/>
        <w:ind w:left="133" w:right="242"/>
        <w:jc w:val="both"/>
        <w:rPr>
          <w:rFonts w:ascii="Calibri" w:eastAsia="Arial" w:hAnsi="Calibri" w:cs="Calibri"/>
          <w:lang w:val="ro-RO"/>
        </w:rPr>
      </w:pP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w:t>
      </w:r>
      <w:r w:rsidRPr="00047930">
        <w:rPr>
          <w:rFonts w:ascii="Calibri" w:eastAsia="Arial" w:hAnsi="Calibri" w:cs="Calibri"/>
          <w:lang w:val="ro-RO"/>
        </w:rPr>
        <w:lastRenderedPageBreak/>
        <w:t>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3976C313" w14:textId="77777777" w:rsidR="001116F7" w:rsidRPr="00047930" w:rsidRDefault="001116F7" w:rsidP="00CE015A">
      <w:pPr>
        <w:spacing w:before="60"/>
        <w:ind w:left="133" w:right="105"/>
        <w:jc w:val="both"/>
        <w:rPr>
          <w:rFonts w:ascii="Calibri" w:eastAsia="Arial" w:hAnsi="Calibri" w:cs="Calibri"/>
          <w:lang w:val="ro-RO"/>
        </w:rPr>
      </w:pP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5D9133D8"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47930">
        <w:rPr>
          <w:rFonts w:ascii="Calibri" w:eastAsia="Arial" w:hAnsi="Calibri" w:cs="Calibri"/>
          <w:lang w:val="ro-RO"/>
        </w:rPr>
        <w:t xml:space="preserve">să încarce în MySMIS2021 </w:t>
      </w:r>
      <w:r w:rsidRPr="00047930">
        <w:rPr>
          <w:rFonts w:ascii="Calibri" w:eastAsia="Arial" w:hAnsi="Calibri" w:cs="Calibri"/>
          <w:lang w:val="ro-RO"/>
        </w:rPr>
        <w:t xml:space="preserve">cereri de rambursare pentru cheltuielile efectuate, care nu fac obiectul mecanismului cererilor de plată și prefinanțare, în termen </w:t>
      </w:r>
      <w:r w:rsidRPr="00047930">
        <w:rPr>
          <w:rFonts w:ascii="Calibri" w:eastAsia="Arial" w:hAnsi="Calibri" w:cs="Calibri"/>
          <w:lang w:val="ro-RO"/>
        </w:rPr>
        <w:lastRenderedPageBreak/>
        <w:t>de maximum 3 luni de la efectuarea acestora, cu excepţia primei cereri de rambursare care poate cuprinde şi cheltuieli efectuate înainte de semnarea contractului de finanţare.</w:t>
      </w:r>
    </w:p>
    <w:p w14:paraId="69D7077F" w14:textId="6235A70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 În termen de maximum 20 de zile lucrătoare  de la data</w:t>
      </w:r>
      <w:r w:rsidR="0035592D" w:rsidRPr="00047930">
        <w:rPr>
          <w:rFonts w:ascii="Calibri" w:eastAsia="Arial" w:hAnsi="Calibri" w:cs="Calibri"/>
          <w:lang w:val="ro-RO"/>
        </w:rPr>
        <w:t xml:space="preserve"> depunerii/</w:t>
      </w:r>
      <w:r w:rsidR="00F27F1C" w:rsidRPr="00047930">
        <w:rPr>
          <w:rFonts w:ascii="Calibri" w:eastAsia="Arial" w:hAnsi="Calibri" w:cs="Calibri"/>
          <w:lang w:val="ro-RO"/>
        </w:rPr>
        <w:t xml:space="preserve"> încărcării  în MySMIS2021</w:t>
      </w:r>
      <w:r w:rsidRPr="00047930">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044FE0D5" w14:textId="77777777" w:rsidR="001116F7" w:rsidRPr="00047930" w:rsidRDefault="001116F7" w:rsidP="00CE015A">
      <w:pPr>
        <w:spacing w:before="60"/>
        <w:ind w:left="133" w:right="105"/>
        <w:jc w:val="both"/>
        <w:rPr>
          <w:rFonts w:ascii="Calibri" w:eastAsia="Arial" w:hAnsi="Calibri" w:cs="Calibri"/>
          <w:lang w:val="ro-RO"/>
        </w:rPr>
      </w:pP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lastRenderedPageBreak/>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2B0E1CC3" w14:textId="77777777" w:rsidR="001116F7" w:rsidRPr="00047930" w:rsidRDefault="001116F7" w:rsidP="00CE015A">
      <w:pPr>
        <w:spacing w:before="60"/>
        <w:ind w:left="133" w:right="102"/>
        <w:jc w:val="both"/>
        <w:rPr>
          <w:rFonts w:ascii="Calibri" w:eastAsia="Arial" w:hAnsi="Calibri" w:cs="Calibri"/>
          <w:lang w:val="ro-RO"/>
        </w:rPr>
      </w:pPr>
    </w:p>
    <w:p w14:paraId="1783ABAE" w14:textId="77777777" w:rsidR="00656CFE" w:rsidRPr="00BF50ED" w:rsidRDefault="00656CFE" w:rsidP="00CE015A">
      <w:pPr>
        <w:spacing w:before="60"/>
        <w:ind w:left="133" w:right="403"/>
        <w:jc w:val="both"/>
        <w:rPr>
          <w:rFonts w:ascii="Calibri" w:eastAsia="Arial" w:hAnsi="Calibri" w:cs="Calibri"/>
          <w:b/>
          <w:lang w:val="ro-RO"/>
        </w:rPr>
      </w:pPr>
      <w:r w:rsidRPr="00BF50ED">
        <w:rPr>
          <w:rFonts w:ascii="Calibri" w:eastAsia="Trebuchet MS" w:hAnsi="Calibri" w:cs="Calibri"/>
          <w:b/>
          <w:lang w:val="ro-RO"/>
        </w:rPr>
        <w:t>(</w:t>
      </w:r>
      <w:r w:rsidRPr="00BF50ED">
        <w:rPr>
          <w:rFonts w:ascii="Calibri" w:eastAsia="Arial" w:hAnsi="Calibri" w:cs="Calibri"/>
          <w:b/>
          <w:lang w:val="ro-RO"/>
        </w:rPr>
        <w:t>e) Graficul de depunere a cererilor de prefinanțare/plată/rambursare a cheltuielilor</w:t>
      </w:r>
    </w:p>
    <w:p w14:paraId="315DEC5B" w14:textId="77777777" w:rsidR="00656CFE" w:rsidRPr="00BF50ED"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BF50ED">
        <w:rPr>
          <w:rFonts w:ascii="Calibri" w:eastAsia="Arial" w:hAnsi="Calibri" w:cs="Calibri"/>
          <w:lang w:val="ro-RO"/>
        </w:rPr>
        <w:t>prevăzute de prezentul</w:t>
      </w:r>
      <w:r w:rsidRPr="00BF50ED">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19A639AA" w14:textId="211CA383" w:rsidR="00635FDB" w:rsidRPr="00635FDB" w:rsidRDefault="009A0BE1" w:rsidP="00635FDB">
      <w:pPr>
        <w:tabs>
          <w:tab w:val="left" w:pos="450"/>
        </w:tabs>
        <w:ind w:right="75"/>
        <w:jc w:val="both"/>
        <w:rPr>
          <w:rFonts w:ascii="Calibri" w:eastAsia="Arial" w:hAnsi="Calibri" w:cs="Calibri"/>
          <w:b/>
          <w:bCs/>
          <w:spacing w:val="1"/>
        </w:rPr>
      </w:pPr>
      <w:r w:rsidRPr="00047930">
        <w:rPr>
          <w:rFonts w:ascii="Calibri" w:eastAsia="Arial" w:hAnsi="Calibri" w:cs="Calibri"/>
          <w:b/>
          <w:spacing w:val="1"/>
          <w:lang w:val="ro-RO"/>
        </w:rPr>
        <w:t>Secțiunea IV</w:t>
      </w:r>
      <w:r w:rsidR="004530BB" w:rsidRPr="00047930">
        <w:rPr>
          <w:rFonts w:ascii="Calibri" w:eastAsia="Arial" w:hAnsi="Calibri" w:cs="Calibri"/>
          <w:b/>
          <w:spacing w:val="1"/>
          <w:lang w:val="ro-RO"/>
        </w:rPr>
        <w:t xml:space="preserve"> – </w:t>
      </w:r>
      <w:proofErr w:type="spellStart"/>
      <w:r w:rsidR="00635FDB" w:rsidRPr="00635FDB">
        <w:rPr>
          <w:rFonts w:ascii="Calibri" w:eastAsia="Arial" w:hAnsi="Calibri" w:cs="Calibri"/>
          <w:b/>
          <w:bCs/>
          <w:spacing w:val="1"/>
        </w:rPr>
        <w:t>Monitorizarea</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și</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raportarea</w:t>
      </w:r>
      <w:proofErr w:type="spellEnd"/>
    </w:p>
    <w:p w14:paraId="18FEDD71" w14:textId="77777777" w:rsidR="00635FDB" w:rsidRPr="00635FDB" w:rsidRDefault="00635FDB" w:rsidP="00635FDB">
      <w:pPr>
        <w:tabs>
          <w:tab w:val="left" w:pos="450"/>
        </w:tabs>
        <w:ind w:right="75"/>
        <w:jc w:val="both"/>
        <w:rPr>
          <w:rFonts w:ascii="Calibri" w:eastAsia="Arial" w:hAnsi="Calibri" w:cs="Calibri"/>
          <w:b/>
          <w:bCs/>
          <w:spacing w:val="1"/>
        </w:rPr>
      </w:pPr>
    </w:p>
    <w:p w14:paraId="0481F1C0" w14:textId="058CD3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Monitorizarea/raportarea implementării proiectelor</w:t>
      </w:r>
    </w:p>
    <w:p w14:paraId="1CC86FAF" w14:textId="77777777" w:rsidR="00BF50ED" w:rsidRPr="00635FDB" w:rsidRDefault="00BF50ED" w:rsidP="00635FDB">
      <w:pPr>
        <w:tabs>
          <w:tab w:val="left" w:pos="450"/>
        </w:tabs>
        <w:ind w:right="75"/>
        <w:jc w:val="both"/>
        <w:rPr>
          <w:rFonts w:ascii="Calibri" w:eastAsia="Arial" w:hAnsi="Calibri" w:cs="Calibri"/>
          <w:b/>
          <w:bCs/>
          <w:spacing w:val="1"/>
        </w:rPr>
      </w:pPr>
    </w:p>
    <w:p w14:paraId="082400FC"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 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84679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suspendarea totală/parțială a autorizării/plății sumelor asociate cererilor de plată/rambursare după caz, atât a celor aflate în curs de procesare la nivelul AM/OI cât și a celor viitoare;</w:t>
      </w:r>
    </w:p>
    <w:p w14:paraId="72BB4E1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b) efectuarea de vizite la fața locului și solicitarea de raportări/justificări suplimentare legate de înregistrarea decalajelor respectiv, cu posibilitatea aplicării inclusiv a măsurii de la lit. a);</w:t>
      </w:r>
    </w:p>
    <w:p w14:paraId="16AEBC8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c) rezilierea contractului de finanțare și recuperarea sumelor plătite, inclusiv a dobânzilor și penalităților asociate, în conformitate cu prevederile prezentului contract.</w:t>
      </w:r>
    </w:p>
    <w:p w14:paraId="4883D65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(2) 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4C3C4F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(3) În completarea dispozițiilor art. 13 alin. (11) litera f) din Contractul de finanțare – Condiții generale vor fi luate în considerare următoarele prevederi:</w:t>
      </w:r>
    </w:p>
    <w:p w14:paraId="65690CE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în situația nerealizării, la termen, a indicatorilor de etapă, AM adoptă și implementează, în funcție de riscurile identificate, acțiuni și măsuri de monitorizare consolidată, după cum urmează:</w:t>
      </w:r>
    </w:p>
    <w:p w14:paraId="0A1FEDF5"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 i) va fi notificat beneficiarul și i se va solicita de către AM, transmiterea documentelor justificative/dovedirea cauzelor obiective pentru nerealizarea la termen a indicatorilor de etapă, în termen de 5 zile lucrătoare de la primirea notificării.</w:t>
      </w:r>
    </w:p>
    <w:p w14:paraId="05F877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28186B88"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(4) Măsurile prevăzute specificate la art. 13 alin. (11) literele (a) - (e) din Contractul de finanțare – Condiții generale pot fi aplicate de catre AM /OI în mod gradual.</w:t>
      </w:r>
    </w:p>
    <w:p w14:paraId="4BE21081" w14:textId="77777777" w:rsidR="00635FDB" w:rsidRPr="00F47280" w:rsidRDefault="00635FDB" w:rsidP="00635FDB">
      <w:pPr>
        <w:tabs>
          <w:tab w:val="left" w:pos="450"/>
        </w:tabs>
        <w:ind w:right="75"/>
        <w:jc w:val="both"/>
        <w:rPr>
          <w:rFonts w:ascii="Calibri" w:eastAsia="Arial" w:hAnsi="Calibri" w:cs="Calibri"/>
          <w:b/>
          <w:bCs/>
          <w:spacing w:val="1"/>
          <w:lang w:val="pt-BR"/>
        </w:rPr>
      </w:pPr>
    </w:p>
    <w:p w14:paraId="2B32D662" w14:textId="77777777" w:rsidR="00776C00" w:rsidRPr="00F47280" w:rsidRDefault="00776C00" w:rsidP="00635FDB">
      <w:pPr>
        <w:tabs>
          <w:tab w:val="left" w:pos="450"/>
        </w:tabs>
        <w:ind w:right="75"/>
        <w:jc w:val="both"/>
        <w:rPr>
          <w:rFonts w:ascii="Calibri" w:eastAsia="Arial" w:hAnsi="Calibri" w:cs="Calibri"/>
          <w:b/>
          <w:bCs/>
          <w:spacing w:val="1"/>
          <w:lang w:val="pt-BR"/>
        </w:rPr>
      </w:pPr>
    </w:p>
    <w:p w14:paraId="3AA0055F" w14:textId="0B82924A" w:rsidR="00635FDB" w:rsidRPr="00F47280" w:rsidRDefault="00635FDB" w:rsidP="00635FDB">
      <w:pPr>
        <w:tabs>
          <w:tab w:val="left" w:pos="450"/>
        </w:tabs>
        <w:ind w:right="75"/>
        <w:jc w:val="both"/>
        <w:rPr>
          <w:rFonts w:ascii="Calibri" w:eastAsia="Arial" w:hAnsi="Calibri" w:cs="Calibri"/>
          <w:b/>
          <w:bCs/>
          <w:spacing w:val="1"/>
          <w:lang w:val="pt-BR"/>
        </w:rPr>
      </w:pPr>
      <w:r w:rsidRPr="00F47280">
        <w:rPr>
          <w:rFonts w:ascii="Calibri" w:eastAsia="Arial" w:hAnsi="Calibri" w:cs="Calibri"/>
          <w:b/>
          <w:bCs/>
          <w:spacing w:val="1"/>
          <w:lang w:val="pt-BR"/>
        </w:rPr>
        <w:t xml:space="preserve">Secțiunea V Activități și cerințe minime obligatorii de vizibilitate, transparență și </w:t>
      </w:r>
      <w:r w:rsidR="001116F7" w:rsidRPr="00F47280">
        <w:rPr>
          <w:rFonts w:ascii="Calibri" w:eastAsia="Arial" w:hAnsi="Calibri" w:cs="Calibri"/>
          <w:b/>
          <w:bCs/>
          <w:spacing w:val="1"/>
          <w:lang w:val="pt-BR"/>
        </w:rPr>
        <w:t>c</w:t>
      </w:r>
      <w:r w:rsidRPr="00F47280">
        <w:rPr>
          <w:rFonts w:ascii="Calibri" w:eastAsia="Arial" w:hAnsi="Calibri" w:cs="Calibri"/>
          <w:b/>
          <w:bCs/>
          <w:spacing w:val="1"/>
          <w:lang w:val="pt-BR"/>
        </w:rPr>
        <w:t>omunicare</w:t>
      </w:r>
    </w:p>
    <w:p w14:paraId="27FAE58E" w14:textId="77777777" w:rsidR="00635FDB" w:rsidRPr="00F47280" w:rsidRDefault="00635FDB" w:rsidP="00635FDB">
      <w:pPr>
        <w:tabs>
          <w:tab w:val="left" w:pos="450"/>
        </w:tabs>
        <w:ind w:right="75"/>
        <w:jc w:val="both"/>
        <w:rPr>
          <w:rFonts w:ascii="Calibri" w:eastAsia="Arial" w:hAnsi="Calibri" w:cs="Calibri"/>
          <w:b/>
          <w:bCs/>
          <w:spacing w:val="1"/>
          <w:lang w:val="pt-BR"/>
        </w:rPr>
      </w:pPr>
    </w:p>
    <w:p w14:paraId="5F453C78" w14:textId="015DEE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Reguli de comunicare și vizibilitate</w:t>
      </w:r>
    </w:p>
    <w:p w14:paraId="5331EBE2" w14:textId="77777777" w:rsidR="00BF50ED" w:rsidRPr="00635FDB" w:rsidRDefault="00BF50ED" w:rsidP="00635FDB">
      <w:pPr>
        <w:tabs>
          <w:tab w:val="left" w:pos="450"/>
        </w:tabs>
        <w:ind w:right="75"/>
        <w:jc w:val="both"/>
        <w:rPr>
          <w:rFonts w:ascii="Calibri" w:eastAsia="Arial" w:hAnsi="Calibri" w:cs="Calibri"/>
          <w:b/>
          <w:bCs/>
          <w:spacing w:val="1"/>
        </w:rPr>
      </w:pPr>
    </w:p>
    <w:p w14:paraId="5EB3C4CA" w14:textId="77777777" w:rsidR="008E58ED" w:rsidRPr="008E58ED" w:rsidRDefault="008E58ED" w:rsidP="008E58ED">
      <w:pPr>
        <w:spacing w:before="60"/>
        <w:ind w:left="133" w:right="105"/>
        <w:jc w:val="both"/>
        <w:rPr>
          <w:rFonts w:ascii="Calibri" w:eastAsia="Arial" w:hAnsi="Calibri" w:cs="Calibri"/>
          <w:lang w:val="ro-RO"/>
        </w:rPr>
      </w:pPr>
      <w:r w:rsidRPr="00F47280">
        <w:rPr>
          <w:rFonts w:ascii="Calibri" w:eastAsia="Arial" w:hAnsi="Calibri" w:cs="Calibri"/>
          <w:bCs/>
          <w:spacing w:val="1"/>
          <w:lang w:val="pt-BR"/>
        </w:rPr>
        <w:lastRenderedPageBreak/>
        <w:t>(</w:t>
      </w:r>
      <w:r w:rsidRPr="008E58ED">
        <w:rPr>
          <w:rFonts w:ascii="Calibri" w:eastAsia="Arial" w:hAnsi="Calibri" w:cs="Calibri"/>
          <w:lang w:val="ro-RO"/>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31917025"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33881176"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0612A36D"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w:t>
      </w:r>
    </w:p>
    <w:p w14:paraId="141451FC"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6A99EBAA"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2DF2BEA9"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(7) Se va realiza un panou permanent/placă permanentă pentru proiectele finanțate din FTJ a căror valoare totală depășește 500.000 euro.</w:t>
      </w:r>
    </w:p>
    <w:p w14:paraId="5489346E"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2EAD5467"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(9) În cazul proiectelor în cadrul cărora se achiziționează mașini unelte (echipament industrial)/utilaje (inclusiv agricole)/mijloace de transport de orice fel se vor aplica autocolante/plăcuțe.</w:t>
      </w:r>
    </w:p>
    <w:p w14:paraId="4A8BB13C"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6C1B1F04"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A nu se confunda secțiunea dedicată unui proiect într-o pagină web existentă a beneficiarului, cu site-ul realizat în întregime în cadrul unui proiect finanțat din fonduri europene.</w:t>
      </w:r>
    </w:p>
    <w:p w14:paraId="6781BC96" w14:textId="57259447" w:rsidR="008E58ED" w:rsidRPr="006207A4" w:rsidRDefault="008E58ED" w:rsidP="008E58ED">
      <w:pPr>
        <w:spacing w:before="60"/>
        <w:ind w:left="133" w:right="105"/>
        <w:jc w:val="both"/>
        <w:rPr>
          <w:rFonts w:ascii="Calibri" w:eastAsia="Arial" w:hAnsi="Calibri" w:cs="Calibri"/>
          <w:lang w:val="ro-RO"/>
        </w:rPr>
      </w:pPr>
      <w:r w:rsidRPr="006207A4">
        <w:rPr>
          <w:rFonts w:ascii="Calibri" w:eastAsia="Arial" w:hAnsi="Calibri" w:cs="Calibri"/>
          <w:lang w:val="ro-RO"/>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nr.1 la ghidul solicitantului.</w:t>
      </w:r>
    </w:p>
    <w:p w14:paraId="772CA220" w14:textId="77777777" w:rsidR="008E58ED" w:rsidRPr="008E58ED" w:rsidRDefault="008E58ED" w:rsidP="008E58ED">
      <w:pPr>
        <w:spacing w:before="60"/>
        <w:ind w:left="133" w:right="105"/>
        <w:jc w:val="both"/>
        <w:rPr>
          <w:rFonts w:ascii="Calibri" w:eastAsia="Arial" w:hAnsi="Calibri" w:cs="Calibri"/>
          <w:lang w:val="ro-RO"/>
        </w:rPr>
      </w:pPr>
      <w:r w:rsidRPr="006207A4">
        <w:rPr>
          <w:rFonts w:ascii="Calibri" w:eastAsia="Arial" w:hAnsi="Calibri" w:cs="Calibri"/>
          <w:lang w:val="ro-RO"/>
        </w:rPr>
        <w:t>(12) Beneficiarii au obligația de a transmite către OI PTJ, spre avizare, toate machetele materialelor de comunicare si publicitate ce se vor elabora în cadrul proiectului.</w:t>
      </w:r>
    </w:p>
    <w:p w14:paraId="0654AB73"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(13) Pentru a ilustra evoluția proiectului, se va realiza un portofoliu de fotografii pe parcursul desfășurării acestuia.</w:t>
      </w:r>
    </w:p>
    <w:p w14:paraId="79421E22" w14:textId="77777777" w:rsidR="008E58ED" w:rsidRP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(14) Beneficiarii au obligația să pună la dispoziția AM și CE, la cerere, date și informații despre proiecte și stadiul lor de implementare, inclusiv fotografii, în vederea probării și asigurării transparenței utilizării fondurilor.</w:t>
      </w:r>
    </w:p>
    <w:p w14:paraId="788B09DD" w14:textId="77777777" w:rsidR="008E58ED"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46E3EC22" w14:textId="0A0AB099" w:rsidR="006207A4" w:rsidRPr="008E58ED" w:rsidRDefault="006207A4" w:rsidP="008E58ED">
      <w:pPr>
        <w:spacing w:before="60"/>
        <w:ind w:left="133" w:right="105"/>
        <w:jc w:val="both"/>
        <w:rPr>
          <w:rFonts w:ascii="Calibri" w:eastAsia="Arial" w:hAnsi="Calibri" w:cs="Calibri"/>
          <w:lang w:val="ro-RO"/>
        </w:rPr>
      </w:pPr>
      <w:r w:rsidRPr="006207A4">
        <w:rPr>
          <w:rFonts w:ascii="Calibri" w:eastAsia="Arial" w:hAnsi="Calibri" w:cs="Calibri"/>
          <w:lang w:val="ro-RO"/>
        </w:rPr>
        <w:lastRenderedPageBreak/>
        <w:t>(1</w:t>
      </w:r>
      <w:r>
        <w:rPr>
          <w:rFonts w:ascii="Calibri" w:eastAsia="Arial" w:hAnsi="Calibri" w:cs="Calibri"/>
          <w:lang w:val="ro-RO"/>
        </w:rPr>
        <w:t>6</w:t>
      </w:r>
      <w:r w:rsidRPr="006207A4">
        <w:rPr>
          <w:rFonts w:ascii="Calibri" w:eastAsia="Arial" w:hAnsi="Calibri" w:cs="Calibri"/>
          <w:lang w:val="ro-RO"/>
        </w:rPr>
        <w:t>)</w:t>
      </w:r>
      <w:r w:rsidRPr="006207A4">
        <w:rPr>
          <w:rFonts w:ascii="Calibri" w:eastAsia="Arial" w:hAnsi="Calibri" w:cs="Calibri"/>
          <w:lang w:val="ro-RO"/>
        </w:rPr>
        <w:tab/>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nr.2021/1060 art. 50, alin (3).</w:t>
      </w:r>
    </w:p>
    <w:p w14:paraId="4F1A2432" w14:textId="09066BE2" w:rsidR="00357D0F" w:rsidRPr="009B5FA1" w:rsidRDefault="008E58ED" w:rsidP="008E58ED">
      <w:pPr>
        <w:spacing w:before="60"/>
        <w:ind w:left="133" w:right="105"/>
        <w:jc w:val="both"/>
        <w:rPr>
          <w:rFonts w:ascii="Calibri" w:eastAsia="Arial" w:hAnsi="Calibri" w:cs="Calibri"/>
          <w:lang w:val="ro-RO"/>
        </w:rPr>
      </w:pPr>
      <w:r w:rsidRPr="008E58ED">
        <w:rPr>
          <w:rFonts w:ascii="Calibri" w:eastAsia="Arial" w:hAnsi="Calibri" w:cs="Calibri"/>
          <w:lang w:val="ro-RO"/>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sectPr w:rsidR="00357D0F" w:rsidRPr="009B5FA1" w:rsidSect="00817456">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068D7" w14:textId="77777777" w:rsidR="00465048" w:rsidRDefault="00465048">
      <w:r>
        <w:separator/>
      </w:r>
    </w:p>
  </w:endnote>
  <w:endnote w:type="continuationSeparator" w:id="0">
    <w:p w14:paraId="46C93657" w14:textId="77777777" w:rsidR="00465048" w:rsidRDefault="00465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EU Albertina"/>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CB5CB" w14:textId="77777777" w:rsidR="00465048" w:rsidRDefault="00465048">
      <w:r>
        <w:separator/>
      </w:r>
    </w:p>
  </w:footnote>
  <w:footnote w:type="continuationSeparator" w:id="0">
    <w:p w14:paraId="1C0A90EE" w14:textId="77777777" w:rsidR="00465048" w:rsidRDefault="004650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3"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2"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4"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3"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5"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39"/>
  </w:num>
  <w:num w:numId="2" w16cid:durableId="1610307858">
    <w:abstractNumId w:val="68"/>
  </w:num>
  <w:num w:numId="3" w16cid:durableId="590940220">
    <w:abstractNumId w:val="45"/>
  </w:num>
  <w:num w:numId="4" w16cid:durableId="934365773">
    <w:abstractNumId w:val="55"/>
  </w:num>
  <w:num w:numId="5" w16cid:durableId="682972057">
    <w:abstractNumId w:val="59"/>
  </w:num>
  <w:num w:numId="6" w16cid:durableId="109014359">
    <w:abstractNumId w:val="54"/>
  </w:num>
  <w:num w:numId="7" w16cid:durableId="1772818032">
    <w:abstractNumId w:val="13"/>
  </w:num>
  <w:num w:numId="8" w16cid:durableId="251548160">
    <w:abstractNumId w:val="24"/>
  </w:num>
  <w:num w:numId="9" w16cid:durableId="2069448287">
    <w:abstractNumId w:val="3"/>
  </w:num>
  <w:num w:numId="10" w16cid:durableId="1027561977">
    <w:abstractNumId w:val="66"/>
  </w:num>
  <w:num w:numId="11" w16cid:durableId="598877370">
    <w:abstractNumId w:val="70"/>
  </w:num>
  <w:num w:numId="12" w16cid:durableId="202324918">
    <w:abstractNumId w:val="61"/>
  </w:num>
  <w:num w:numId="13" w16cid:durableId="1891963088">
    <w:abstractNumId w:val="14"/>
  </w:num>
  <w:num w:numId="14" w16cid:durableId="819663217">
    <w:abstractNumId w:val="49"/>
  </w:num>
  <w:num w:numId="15" w16cid:durableId="998734929">
    <w:abstractNumId w:val="75"/>
  </w:num>
  <w:num w:numId="16" w16cid:durableId="822428334">
    <w:abstractNumId w:val="72"/>
  </w:num>
  <w:num w:numId="17" w16cid:durableId="1479036935">
    <w:abstractNumId w:val="16"/>
  </w:num>
  <w:num w:numId="18" w16cid:durableId="135995913">
    <w:abstractNumId w:val="38"/>
  </w:num>
  <w:num w:numId="19" w16cid:durableId="1937517445">
    <w:abstractNumId w:val="30"/>
  </w:num>
  <w:num w:numId="20" w16cid:durableId="1279338863">
    <w:abstractNumId w:val="34"/>
  </w:num>
  <w:num w:numId="21" w16cid:durableId="1113477129">
    <w:abstractNumId w:val="7"/>
  </w:num>
  <w:num w:numId="22" w16cid:durableId="1278490997">
    <w:abstractNumId w:val="32"/>
  </w:num>
  <w:num w:numId="23" w16cid:durableId="2039547139">
    <w:abstractNumId w:val="25"/>
  </w:num>
  <w:num w:numId="24" w16cid:durableId="1126847945">
    <w:abstractNumId w:val="56"/>
  </w:num>
  <w:num w:numId="25" w16cid:durableId="155921445">
    <w:abstractNumId w:val="41"/>
  </w:num>
  <w:num w:numId="26" w16cid:durableId="1272736480">
    <w:abstractNumId w:val="63"/>
  </w:num>
  <w:num w:numId="27" w16cid:durableId="605816073">
    <w:abstractNumId w:val="23"/>
  </w:num>
  <w:num w:numId="28" w16cid:durableId="1689329767">
    <w:abstractNumId w:val="29"/>
  </w:num>
  <w:num w:numId="29" w16cid:durableId="1420909661">
    <w:abstractNumId w:val="20"/>
  </w:num>
  <w:num w:numId="30" w16cid:durableId="1104882388">
    <w:abstractNumId w:val="64"/>
  </w:num>
  <w:num w:numId="31" w16cid:durableId="1161310741">
    <w:abstractNumId w:val="57"/>
  </w:num>
  <w:num w:numId="32" w16cid:durableId="1492792849">
    <w:abstractNumId w:val="47"/>
  </w:num>
  <w:num w:numId="33" w16cid:durableId="1948341854">
    <w:abstractNumId w:val="12"/>
  </w:num>
  <w:num w:numId="34" w16cid:durableId="1023702661">
    <w:abstractNumId w:val="6"/>
  </w:num>
  <w:num w:numId="35" w16cid:durableId="895313735">
    <w:abstractNumId w:val="51"/>
  </w:num>
  <w:num w:numId="36" w16cid:durableId="440146561">
    <w:abstractNumId w:val="46"/>
  </w:num>
  <w:num w:numId="37" w16cid:durableId="1730884140">
    <w:abstractNumId w:val="18"/>
  </w:num>
  <w:num w:numId="38" w16cid:durableId="2047100120">
    <w:abstractNumId w:val="11"/>
  </w:num>
  <w:num w:numId="39" w16cid:durableId="1206258055">
    <w:abstractNumId w:val="60"/>
  </w:num>
  <w:num w:numId="40" w16cid:durableId="1020739406">
    <w:abstractNumId w:val="65"/>
  </w:num>
  <w:num w:numId="41" w16cid:durableId="956792500">
    <w:abstractNumId w:val="36"/>
  </w:num>
  <w:num w:numId="42" w16cid:durableId="2045248959">
    <w:abstractNumId w:val="43"/>
  </w:num>
  <w:num w:numId="43" w16cid:durableId="1861354603">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3"/>
  </w:num>
  <w:num w:numId="47" w16cid:durableId="870383637">
    <w:abstractNumId w:val="15"/>
  </w:num>
  <w:num w:numId="48" w16cid:durableId="1165707270">
    <w:abstractNumId w:val="2"/>
  </w:num>
  <w:num w:numId="49" w16cid:durableId="1131284155">
    <w:abstractNumId w:val="69"/>
  </w:num>
  <w:num w:numId="50" w16cid:durableId="1209798024">
    <w:abstractNumId w:val="44"/>
  </w:num>
  <w:num w:numId="51" w16cid:durableId="1718509016">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8"/>
  </w:num>
  <w:num w:numId="56" w16cid:durableId="559364180">
    <w:abstractNumId w:val="40"/>
  </w:num>
  <w:num w:numId="57" w16cid:durableId="446780395">
    <w:abstractNumId w:val="19"/>
  </w:num>
  <w:num w:numId="58" w16cid:durableId="1286161012">
    <w:abstractNumId w:val="74"/>
  </w:num>
  <w:num w:numId="59" w16cid:durableId="1703436591">
    <w:abstractNumId w:val="58"/>
  </w:num>
  <w:num w:numId="60" w16cid:durableId="493230683">
    <w:abstractNumId w:val="26"/>
  </w:num>
  <w:num w:numId="61" w16cid:durableId="92744533">
    <w:abstractNumId w:val="62"/>
  </w:num>
  <w:num w:numId="62" w16cid:durableId="170419401">
    <w:abstractNumId w:val="27"/>
  </w:num>
  <w:num w:numId="63" w16cid:durableId="936711688">
    <w:abstractNumId w:val="8"/>
  </w:num>
  <w:num w:numId="64" w16cid:durableId="155464345">
    <w:abstractNumId w:val="21"/>
  </w:num>
  <w:num w:numId="65" w16cid:durableId="1504934258">
    <w:abstractNumId w:val="5"/>
  </w:num>
  <w:num w:numId="66" w16cid:durableId="807433128">
    <w:abstractNumId w:val="37"/>
  </w:num>
  <w:num w:numId="67" w16cid:durableId="589004429">
    <w:abstractNumId w:val="71"/>
  </w:num>
  <w:num w:numId="68" w16cid:durableId="1401444267">
    <w:abstractNumId w:val="50"/>
  </w:num>
  <w:num w:numId="69" w16cid:durableId="957028965">
    <w:abstractNumId w:val="31"/>
  </w:num>
  <w:num w:numId="70" w16cid:durableId="251008915">
    <w:abstractNumId w:val="67"/>
  </w:num>
  <w:num w:numId="71" w16cid:durableId="1327631643">
    <w:abstractNumId w:val="52"/>
  </w:num>
  <w:num w:numId="72" w16cid:durableId="1834947459">
    <w:abstractNumId w:val="9"/>
  </w:num>
  <w:num w:numId="73" w16cid:durableId="2040542742">
    <w:abstractNumId w:val="33"/>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5"/>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3"/>
  </w:num>
  <w:num w:numId="79" w16cid:durableId="1559390902">
    <w:abstractNumId w:val="1"/>
  </w:num>
  <w:num w:numId="80" w16cid:durableId="20951290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829429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53699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1C26"/>
    <w:rsid w:val="000424A0"/>
    <w:rsid w:val="00042A22"/>
    <w:rsid w:val="00043DF5"/>
    <w:rsid w:val="00044857"/>
    <w:rsid w:val="00044C4B"/>
    <w:rsid w:val="00044DC3"/>
    <w:rsid w:val="000456A0"/>
    <w:rsid w:val="00045FBB"/>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4B32"/>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22A"/>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16F7"/>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245"/>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26F5"/>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7191"/>
    <w:rsid w:val="0025774A"/>
    <w:rsid w:val="00261CE8"/>
    <w:rsid w:val="00262EB2"/>
    <w:rsid w:val="0026302A"/>
    <w:rsid w:val="0026304C"/>
    <w:rsid w:val="00263A7E"/>
    <w:rsid w:val="00266A49"/>
    <w:rsid w:val="00266B67"/>
    <w:rsid w:val="002670B6"/>
    <w:rsid w:val="00270540"/>
    <w:rsid w:val="002711C2"/>
    <w:rsid w:val="0027139B"/>
    <w:rsid w:val="00271E76"/>
    <w:rsid w:val="00271FBC"/>
    <w:rsid w:val="002725CA"/>
    <w:rsid w:val="00272948"/>
    <w:rsid w:val="0027365B"/>
    <w:rsid w:val="00273E5F"/>
    <w:rsid w:val="00274C0C"/>
    <w:rsid w:val="0027654B"/>
    <w:rsid w:val="00276BC6"/>
    <w:rsid w:val="0028082D"/>
    <w:rsid w:val="00280E53"/>
    <w:rsid w:val="00281154"/>
    <w:rsid w:val="0028313F"/>
    <w:rsid w:val="00283FFC"/>
    <w:rsid w:val="00284223"/>
    <w:rsid w:val="00285253"/>
    <w:rsid w:val="0028576C"/>
    <w:rsid w:val="00285E64"/>
    <w:rsid w:val="00286666"/>
    <w:rsid w:val="00286740"/>
    <w:rsid w:val="00286B25"/>
    <w:rsid w:val="0028779F"/>
    <w:rsid w:val="00287D5F"/>
    <w:rsid w:val="00290031"/>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5C9"/>
    <w:rsid w:val="002B36E4"/>
    <w:rsid w:val="002B3859"/>
    <w:rsid w:val="002B4397"/>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28B2"/>
    <w:rsid w:val="00323EB2"/>
    <w:rsid w:val="003252E7"/>
    <w:rsid w:val="00326B4F"/>
    <w:rsid w:val="00326F80"/>
    <w:rsid w:val="00327838"/>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E8E"/>
    <w:rsid w:val="00352283"/>
    <w:rsid w:val="00352BFD"/>
    <w:rsid w:val="003530DF"/>
    <w:rsid w:val="00353EA9"/>
    <w:rsid w:val="00354CA6"/>
    <w:rsid w:val="0035592D"/>
    <w:rsid w:val="0035741F"/>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D3A"/>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5F80"/>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478C6"/>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048"/>
    <w:rsid w:val="00465865"/>
    <w:rsid w:val="0046605F"/>
    <w:rsid w:val="00467B19"/>
    <w:rsid w:val="00467F70"/>
    <w:rsid w:val="00471CDB"/>
    <w:rsid w:val="00473DCF"/>
    <w:rsid w:val="00474644"/>
    <w:rsid w:val="004748C6"/>
    <w:rsid w:val="00474B77"/>
    <w:rsid w:val="00474BFA"/>
    <w:rsid w:val="00475300"/>
    <w:rsid w:val="00477574"/>
    <w:rsid w:val="004776BA"/>
    <w:rsid w:val="004777AB"/>
    <w:rsid w:val="00477840"/>
    <w:rsid w:val="004809DD"/>
    <w:rsid w:val="00480E3B"/>
    <w:rsid w:val="00482700"/>
    <w:rsid w:val="004828DF"/>
    <w:rsid w:val="00482AD1"/>
    <w:rsid w:val="00483340"/>
    <w:rsid w:val="004843BD"/>
    <w:rsid w:val="004846B3"/>
    <w:rsid w:val="00484B3A"/>
    <w:rsid w:val="0048567E"/>
    <w:rsid w:val="00485817"/>
    <w:rsid w:val="004869FF"/>
    <w:rsid w:val="00490396"/>
    <w:rsid w:val="0049219E"/>
    <w:rsid w:val="004925A3"/>
    <w:rsid w:val="0049280F"/>
    <w:rsid w:val="0049320E"/>
    <w:rsid w:val="00493E84"/>
    <w:rsid w:val="00494889"/>
    <w:rsid w:val="004958A4"/>
    <w:rsid w:val="00495BF6"/>
    <w:rsid w:val="00495E31"/>
    <w:rsid w:val="0049737C"/>
    <w:rsid w:val="004A1073"/>
    <w:rsid w:val="004A115C"/>
    <w:rsid w:val="004A16F7"/>
    <w:rsid w:val="004A1CE1"/>
    <w:rsid w:val="004A1ED4"/>
    <w:rsid w:val="004A24EB"/>
    <w:rsid w:val="004A340D"/>
    <w:rsid w:val="004A6408"/>
    <w:rsid w:val="004A6B88"/>
    <w:rsid w:val="004A71A9"/>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C79B0"/>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3E9"/>
    <w:rsid w:val="004E1F3E"/>
    <w:rsid w:val="004E2BE8"/>
    <w:rsid w:val="004E4BDE"/>
    <w:rsid w:val="004E6A64"/>
    <w:rsid w:val="004E6E04"/>
    <w:rsid w:val="004F0512"/>
    <w:rsid w:val="004F0A0F"/>
    <w:rsid w:val="004F0B2C"/>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2C0A"/>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52CA"/>
    <w:rsid w:val="005274BD"/>
    <w:rsid w:val="00527E02"/>
    <w:rsid w:val="00530746"/>
    <w:rsid w:val="00530C59"/>
    <w:rsid w:val="0053126D"/>
    <w:rsid w:val="00531660"/>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084"/>
    <w:rsid w:val="00551AD0"/>
    <w:rsid w:val="0055206D"/>
    <w:rsid w:val="00553559"/>
    <w:rsid w:val="00553935"/>
    <w:rsid w:val="00554659"/>
    <w:rsid w:val="00556B7E"/>
    <w:rsid w:val="005572B5"/>
    <w:rsid w:val="00557651"/>
    <w:rsid w:val="005600ED"/>
    <w:rsid w:val="0056102E"/>
    <w:rsid w:val="005615CE"/>
    <w:rsid w:val="00561E01"/>
    <w:rsid w:val="00563968"/>
    <w:rsid w:val="00563FB9"/>
    <w:rsid w:val="005646CD"/>
    <w:rsid w:val="00564789"/>
    <w:rsid w:val="00564D43"/>
    <w:rsid w:val="005653ED"/>
    <w:rsid w:val="00566248"/>
    <w:rsid w:val="00566EFD"/>
    <w:rsid w:val="00567ED9"/>
    <w:rsid w:val="00570C68"/>
    <w:rsid w:val="00572B75"/>
    <w:rsid w:val="00574D90"/>
    <w:rsid w:val="00575643"/>
    <w:rsid w:val="00577042"/>
    <w:rsid w:val="00577403"/>
    <w:rsid w:val="00577A9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13B3"/>
    <w:rsid w:val="00614000"/>
    <w:rsid w:val="00614118"/>
    <w:rsid w:val="0061444A"/>
    <w:rsid w:val="00614E69"/>
    <w:rsid w:val="006155CB"/>
    <w:rsid w:val="006159D1"/>
    <w:rsid w:val="00616A12"/>
    <w:rsid w:val="00616C77"/>
    <w:rsid w:val="006179B2"/>
    <w:rsid w:val="006207A4"/>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5FDB"/>
    <w:rsid w:val="006361E3"/>
    <w:rsid w:val="00637083"/>
    <w:rsid w:val="006407C5"/>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1AFE"/>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4CB"/>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8A7"/>
    <w:rsid w:val="006E3F85"/>
    <w:rsid w:val="006E4750"/>
    <w:rsid w:val="006E5560"/>
    <w:rsid w:val="006F0745"/>
    <w:rsid w:val="006F21E4"/>
    <w:rsid w:val="006F23C7"/>
    <w:rsid w:val="006F357E"/>
    <w:rsid w:val="006F39BE"/>
    <w:rsid w:val="006F3A08"/>
    <w:rsid w:val="006F3CF6"/>
    <w:rsid w:val="006F3D1F"/>
    <w:rsid w:val="006F6128"/>
    <w:rsid w:val="006F61B7"/>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1FF8"/>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42D1"/>
    <w:rsid w:val="00776381"/>
    <w:rsid w:val="00776C00"/>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0ED2"/>
    <w:rsid w:val="007F179D"/>
    <w:rsid w:val="007F1B16"/>
    <w:rsid w:val="007F4D10"/>
    <w:rsid w:val="007F5067"/>
    <w:rsid w:val="007F63C2"/>
    <w:rsid w:val="007F7D64"/>
    <w:rsid w:val="00800A84"/>
    <w:rsid w:val="00800BC4"/>
    <w:rsid w:val="0080182D"/>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59C3"/>
    <w:rsid w:val="00857F04"/>
    <w:rsid w:val="00860CB4"/>
    <w:rsid w:val="00861E55"/>
    <w:rsid w:val="008627EB"/>
    <w:rsid w:val="008635C2"/>
    <w:rsid w:val="00863EAA"/>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74D"/>
    <w:rsid w:val="008949E4"/>
    <w:rsid w:val="00895BDD"/>
    <w:rsid w:val="00897648"/>
    <w:rsid w:val="00897F59"/>
    <w:rsid w:val="008A0D23"/>
    <w:rsid w:val="008A11EF"/>
    <w:rsid w:val="008A30DB"/>
    <w:rsid w:val="008A4B5D"/>
    <w:rsid w:val="008A4B84"/>
    <w:rsid w:val="008A51CE"/>
    <w:rsid w:val="008A581E"/>
    <w:rsid w:val="008A6959"/>
    <w:rsid w:val="008A7BC0"/>
    <w:rsid w:val="008B0549"/>
    <w:rsid w:val="008B33F8"/>
    <w:rsid w:val="008B3F76"/>
    <w:rsid w:val="008B4043"/>
    <w:rsid w:val="008B4B4F"/>
    <w:rsid w:val="008B5A48"/>
    <w:rsid w:val="008B6001"/>
    <w:rsid w:val="008B7501"/>
    <w:rsid w:val="008B7E2B"/>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8ED"/>
    <w:rsid w:val="008E5C62"/>
    <w:rsid w:val="008E5F1B"/>
    <w:rsid w:val="008E74D4"/>
    <w:rsid w:val="008E76C6"/>
    <w:rsid w:val="008F0166"/>
    <w:rsid w:val="008F03BA"/>
    <w:rsid w:val="008F2A34"/>
    <w:rsid w:val="008F2C64"/>
    <w:rsid w:val="008F395B"/>
    <w:rsid w:val="008F46B0"/>
    <w:rsid w:val="008F4732"/>
    <w:rsid w:val="008F4841"/>
    <w:rsid w:val="008F5BA6"/>
    <w:rsid w:val="008F5D10"/>
    <w:rsid w:val="008F60E4"/>
    <w:rsid w:val="008F731C"/>
    <w:rsid w:val="008F7765"/>
    <w:rsid w:val="008F7C65"/>
    <w:rsid w:val="009010D7"/>
    <w:rsid w:val="00901B69"/>
    <w:rsid w:val="00901DDC"/>
    <w:rsid w:val="00904167"/>
    <w:rsid w:val="00904238"/>
    <w:rsid w:val="00904FDF"/>
    <w:rsid w:val="009054C2"/>
    <w:rsid w:val="00907CA1"/>
    <w:rsid w:val="00907EA6"/>
    <w:rsid w:val="009106EB"/>
    <w:rsid w:val="00911AB6"/>
    <w:rsid w:val="009136EF"/>
    <w:rsid w:val="00913D93"/>
    <w:rsid w:val="00914C6E"/>
    <w:rsid w:val="009151B1"/>
    <w:rsid w:val="009166B3"/>
    <w:rsid w:val="00916FE7"/>
    <w:rsid w:val="0091723F"/>
    <w:rsid w:val="00921204"/>
    <w:rsid w:val="00922539"/>
    <w:rsid w:val="00924167"/>
    <w:rsid w:val="009256B5"/>
    <w:rsid w:val="00926207"/>
    <w:rsid w:val="0093019C"/>
    <w:rsid w:val="00930241"/>
    <w:rsid w:val="009304D6"/>
    <w:rsid w:val="009307D0"/>
    <w:rsid w:val="00931781"/>
    <w:rsid w:val="009331E1"/>
    <w:rsid w:val="00933D28"/>
    <w:rsid w:val="009343BA"/>
    <w:rsid w:val="00934A5D"/>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5F45"/>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EC4"/>
    <w:rsid w:val="009F50A5"/>
    <w:rsid w:val="009F5945"/>
    <w:rsid w:val="009F6259"/>
    <w:rsid w:val="009F72D8"/>
    <w:rsid w:val="009F75B5"/>
    <w:rsid w:val="009F7E43"/>
    <w:rsid w:val="009F7FE7"/>
    <w:rsid w:val="00A005DA"/>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755D"/>
    <w:rsid w:val="00A47EA7"/>
    <w:rsid w:val="00A500F2"/>
    <w:rsid w:val="00A503E9"/>
    <w:rsid w:val="00A505C0"/>
    <w:rsid w:val="00A5483B"/>
    <w:rsid w:val="00A554A8"/>
    <w:rsid w:val="00A55D17"/>
    <w:rsid w:val="00A56F81"/>
    <w:rsid w:val="00A579F3"/>
    <w:rsid w:val="00A6201B"/>
    <w:rsid w:val="00A62073"/>
    <w:rsid w:val="00A62750"/>
    <w:rsid w:val="00A630B5"/>
    <w:rsid w:val="00A66DAA"/>
    <w:rsid w:val="00A70BBA"/>
    <w:rsid w:val="00A72F3D"/>
    <w:rsid w:val="00A730CF"/>
    <w:rsid w:val="00A73F41"/>
    <w:rsid w:val="00A747D2"/>
    <w:rsid w:val="00A75CEE"/>
    <w:rsid w:val="00A767DA"/>
    <w:rsid w:val="00A7799C"/>
    <w:rsid w:val="00A80593"/>
    <w:rsid w:val="00A80923"/>
    <w:rsid w:val="00A815E0"/>
    <w:rsid w:val="00A81A2F"/>
    <w:rsid w:val="00A83EA9"/>
    <w:rsid w:val="00A84D67"/>
    <w:rsid w:val="00A8507F"/>
    <w:rsid w:val="00A85335"/>
    <w:rsid w:val="00A856EA"/>
    <w:rsid w:val="00A8659D"/>
    <w:rsid w:val="00A86E60"/>
    <w:rsid w:val="00A87532"/>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7AA"/>
    <w:rsid w:val="00AB5E7E"/>
    <w:rsid w:val="00AB7637"/>
    <w:rsid w:val="00AC0218"/>
    <w:rsid w:val="00AC0EE4"/>
    <w:rsid w:val="00AC1A6A"/>
    <w:rsid w:val="00AC2B3B"/>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5E61"/>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ABE"/>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569C"/>
    <w:rsid w:val="00B478A8"/>
    <w:rsid w:val="00B504E2"/>
    <w:rsid w:val="00B511DF"/>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2FAB"/>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2B0"/>
    <w:rsid w:val="00BC5426"/>
    <w:rsid w:val="00BC64DA"/>
    <w:rsid w:val="00BC6920"/>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0ED"/>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0E15"/>
    <w:rsid w:val="00C41777"/>
    <w:rsid w:val="00C41779"/>
    <w:rsid w:val="00C41F7E"/>
    <w:rsid w:val="00C437EB"/>
    <w:rsid w:val="00C44B6A"/>
    <w:rsid w:val="00C45D96"/>
    <w:rsid w:val="00C45F1F"/>
    <w:rsid w:val="00C4684C"/>
    <w:rsid w:val="00C4747F"/>
    <w:rsid w:val="00C47A14"/>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2BC"/>
    <w:rsid w:val="00C91B05"/>
    <w:rsid w:val="00C92CA5"/>
    <w:rsid w:val="00C939CC"/>
    <w:rsid w:val="00C939E3"/>
    <w:rsid w:val="00C93CAF"/>
    <w:rsid w:val="00C96486"/>
    <w:rsid w:val="00C976D6"/>
    <w:rsid w:val="00CA092A"/>
    <w:rsid w:val="00CA0CA6"/>
    <w:rsid w:val="00CA164E"/>
    <w:rsid w:val="00CA3042"/>
    <w:rsid w:val="00CA38C2"/>
    <w:rsid w:val="00CA6E0E"/>
    <w:rsid w:val="00CA71CF"/>
    <w:rsid w:val="00CA7D48"/>
    <w:rsid w:val="00CB0950"/>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5EF"/>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A8E"/>
    <w:rsid w:val="00D16674"/>
    <w:rsid w:val="00D16B65"/>
    <w:rsid w:val="00D170C0"/>
    <w:rsid w:val="00D170FA"/>
    <w:rsid w:val="00D17993"/>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3F7"/>
    <w:rsid w:val="00D50E34"/>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16DB"/>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3A73"/>
    <w:rsid w:val="00DC423C"/>
    <w:rsid w:val="00DC6BC7"/>
    <w:rsid w:val="00DC6E15"/>
    <w:rsid w:val="00DC6FCF"/>
    <w:rsid w:val="00DC7ABB"/>
    <w:rsid w:val="00DC7E42"/>
    <w:rsid w:val="00DD057C"/>
    <w:rsid w:val="00DD16C1"/>
    <w:rsid w:val="00DD285C"/>
    <w:rsid w:val="00DD29F3"/>
    <w:rsid w:val="00DD3D87"/>
    <w:rsid w:val="00DD59A6"/>
    <w:rsid w:val="00DD5D53"/>
    <w:rsid w:val="00DD67AF"/>
    <w:rsid w:val="00DD6E2D"/>
    <w:rsid w:val="00DD707D"/>
    <w:rsid w:val="00DD7C67"/>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108F"/>
    <w:rsid w:val="00E91913"/>
    <w:rsid w:val="00E92294"/>
    <w:rsid w:val="00E92527"/>
    <w:rsid w:val="00E926E0"/>
    <w:rsid w:val="00E95CC8"/>
    <w:rsid w:val="00E9632E"/>
    <w:rsid w:val="00E97115"/>
    <w:rsid w:val="00EA11FF"/>
    <w:rsid w:val="00EA1284"/>
    <w:rsid w:val="00EA16F0"/>
    <w:rsid w:val="00EA4523"/>
    <w:rsid w:val="00EA62F1"/>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F0038E"/>
    <w:rsid w:val="00F00483"/>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5BF5"/>
    <w:rsid w:val="00F3602C"/>
    <w:rsid w:val="00F36176"/>
    <w:rsid w:val="00F3693B"/>
    <w:rsid w:val="00F40031"/>
    <w:rsid w:val="00F40D22"/>
    <w:rsid w:val="00F45574"/>
    <w:rsid w:val="00F45F8B"/>
    <w:rsid w:val="00F4634C"/>
    <w:rsid w:val="00F47280"/>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2DAD"/>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34E9"/>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9810658A-E351-44EF-87B8-6829DF429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AD"/>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10988</Words>
  <Characters>68556</Characters>
  <Application>Microsoft Office Word</Application>
  <DocSecurity>0</DocSecurity>
  <Lines>571</Lines>
  <Paragraphs>158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Brindusa Bordeianu</dc:creator>
  <cp:keywords/>
  <dc:description/>
  <cp:lastModifiedBy>Brindusa Bordeianu</cp:lastModifiedBy>
  <cp:revision>8</cp:revision>
  <cp:lastPrinted>2025-12-22T14:17:00Z</cp:lastPrinted>
  <dcterms:created xsi:type="dcterms:W3CDTF">2025-12-16T15:10:00Z</dcterms:created>
  <dcterms:modified xsi:type="dcterms:W3CDTF">2025-12-22T14:25:00Z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y fmtid="{D5CDD505-2E9C-101B-9397-08002B2CF9AE}" pid="3" name="_NewReviewCycle">
    <vt:lpwstr/>
  </property>
</Properties>
</file>